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eastAsia="黑体"/>
          <w:b/>
          <w:bCs/>
          <w:sz w:val="28"/>
          <w:szCs w:val="28"/>
        </w:rPr>
      </w:pPr>
      <w:r>
        <w:rPr>
          <w:rFonts w:eastAsia="等线"/>
          <w:b/>
          <w:bCs/>
          <w:sz w:val="28"/>
          <w:szCs w:val="28"/>
        </w:rPr>
        <w:t>2022-2023学年第 2 学期《</w:t>
      </w:r>
      <w:r>
        <w:rPr>
          <w:rFonts w:eastAsia="黑体"/>
          <w:b/>
          <w:bCs/>
          <w:sz w:val="28"/>
          <w:szCs w:val="28"/>
        </w:rPr>
        <w:t>毕业设计（论文）A》</w:t>
      </w:r>
    </w:p>
    <w:p>
      <w:pPr>
        <w:spacing w:line="400" w:lineRule="exact"/>
        <w:jc w:val="center"/>
        <w:rPr>
          <w:rFonts w:eastAsia="等线"/>
          <w:b/>
          <w:bCs/>
          <w:sz w:val="28"/>
          <w:szCs w:val="28"/>
        </w:rPr>
      </w:pPr>
      <w:r>
        <w:rPr>
          <w:rFonts w:eastAsia="黑体"/>
          <w:b/>
          <w:bCs/>
          <w:sz w:val="28"/>
          <w:szCs w:val="28"/>
        </w:rPr>
        <w:t>课程目标达成评价报告</w:t>
      </w:r>
    </w:p>
    <w:p>
      <w:pPr>
        <w:rPr>
          <w:rFonts w:eastAsia="等线"/>
          <w:b/>
          <w:bCs/>
          <w:sz w:val="24"/>
          <w:szCs w:val="24"/>
        </w:rPr>
      </w:pPr>
      <w:r>
        <w:rPr>
          <w:rFonts w:eastAsia="等线"/>
          <w:b/>
          <w:bCs/>
          <w:sz w:val="24"/>
          <w:szCs w:val="24"/>
        </w:rPr>
        <w:t>1. 课程基本情况</w:t>
      </w:r>
    </w:p>
    <w:tbl>
      <w:tblPr>
        <w:tblStyle w:val="4"/>
        <w:tblW w:w="8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4029"/>
        <w:gridCol w:w="1562"/>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0" w:type="dxa"/>
            <w:tcBorders>
              <w:top w:val="single" w:color="auto" w:sz="12" w:space="0"/>
              <w:left w:val="single" w:color="auto" w:sz="12" w:space="0"/>
              <w:bottom w:val="single" w:color="auto" w:sz="4" w:space="0"/>
              <w:right w:val="single" w:color="auto" w:sz="4" w:space="0"/>
            </w:tcBorders>
            <w:noWrap w:val="0"/>
            <w:vAlign w:val="center"/>
          </w:tcPr>
          <w:p>
            <w:pPr>
              <w:jc w:val="center"/>
              <w:rPr>
                <w:rFonts w:eastAsia="等线"/>
                <w:b/>
                <w:szCs w:val="21"/>
              </w:rPr>
            </w:pPr>
            <w:r>
              <w:rPr>
                <w:rFonts w:eastAsia="等线"/>
                <w:b/>
                <w:szCs w:val="21"/>
              </w:rPr>
              <w:t>课程代码</w:t>
            </w:r>
          </w:p>
        </w:tc>
        <w:tc>
          <w:tcPr>
            <w:tcW w:w="4029" w:type="dxa"/>
            <w:tcBorders>
              <w:top w:val="single" w:color="auto" w:sz="12" w:space="0"/>
              <w:left w:val="single" w:color="auto" w:sz="4" w:space="0"/>
              <w:bottom w:val="single" w:color="auto" w:sz="4" w:space="0"/>
              <w:right w:val="single" w:color="auto" w:sz="4" w:space="0"/>
            </w:tcBorders>
            <w:noWrap w:val="0"/>
            <w:vAlign w:val="center"/>
          </w:tcPr>
          <w:p>
            <w:pPr>
              <w:jc w:val="center"/>
              <w:rPr>
                <w:rFonts w:eastAsia="等线"/>
                <w:b/>
                <w:szCs w:val="21"/>
              </w:rPr>
            </w:pPr>
            <w:r>
              <w:rPr>
                <w:rFonts w:eastAsia="等线"/>
                <w:b/>
                <w:szCs w:val="21"/>
              </w:rPr>
              <w:t>TM010244B</w:t>
            </w:r>
          </w:p>
        </w:tc>
        <w:tc>
          <w:tcPr>
            <w:tcW w:w="1562" w:type="dxa"/>
            <w:tcBorders>
              <w:top w:val="single" w:color="auto" w:sz="12" w:space="0"/>
              <w:left w:val="single" w:color="auto" w:sz="4" w:space="0"/>
              <w:bottom w:val="single" w:color="auto" w:sz="4" w:space="0"/>
              <w:right w:val="single" w:color="auto" w:sz="4" w:space="0"/>
            </w:tcBorders>
            <w:noWrap w:val="0"/>
            <w:vAlign w:val="center"/>
          </w:tcPr>
          <w:p>
            <w:pPr>
              <w:jc w:val="center"/>
              <w:rPr>
                <w:rFonts w:eastAsia="等线"/>
                <w:b/>
                <w:szCs w:val="21"/>
              </w:rPr>
            </w:pPr>
            <w:r>
              <w:rPr>
                <w:rFonts w:eastAsia="等线"/>
                <w:b/>
                <w:szCs w:val="21"/>
              </w:rPr>
              <w:t>课程性质</w:t>
            </w:r>
          </w:p>
        </w:tc>
        <w:tc>
          <w:tcPr>
            <w:tcW w:w="1598" w:type="dxa"/>
            <w:tcBorders>
              <w:top w:val="single" w:color="auto" w:sz="12" w:space="0"/>
              <w:left w:val="single" w:color="auto" w:sz="4" w:space="0"/>
              <w:bottom w:val="single" w:color="auto" w:sz="4" w:space="0"/>
              <w:right w:val="single" w:color="auto" w:sz="12" w:space="0"/>
            </w:tcBorders>
            <w:noWrap w:val="0"/>
            <w:vAlign w:val="center"/>
          </w:tcPr>
          <w:p>
            <w:pPr>
              <w:jc w:val="center"/>
              <w:rPr>
                <w:rFonts w:eastAsia="等线"/>
                <w:b/>
                <w:szCs w:val="21"/>
              </w:rPr>
            </w:pPr>
            <w:r>
              <w:rPr>
                <w:rFonts w:eastAsia="等线"/>
                <w:b/>
                <w:szCs w:val="21"/>
              </w:rPr>
              <w:t>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300"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等线"/>
                <w:b/>
                <w:szCs w:val="21"/>
              </w:rPr>
            </w:pPr>
            <w:r>
              <w:rPr>
                <w:rFonts w:eastAsia="等线"/>
                <w:b/>
                <w:szCs w:val="21"/>
              </w:rPr>
              <w:t>课程名称</w:t>
            </w:r>
          </w:p>
        </w:tc>
        <w:tc>
          <w:tcPr>
            <w:tcW w:w="402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等线"/>
                <w:b/>
                <w:szCs w:val="21"/>
              </w:rPr>
            </w:pPr>
            <w:r>
              <w:rPr>
                <w:rFonts w:eastAsia="等线"/>
                <w:b/>
                <w:szCs w:val="21"/>
              </w:rPr>
              <w:t>毕业设计（论文）A</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等线"/>
                <w:b/>
                <w:szCs w:val="21"/>
              </w:rPr>
            </w:pPr>
            <w:r>
              <w:rPr>
                <w:rFonts w:eastAsia="等线"/>
                <w:b/>
                <w:szCs w:val="21"/>
              </w:rPr>
              <w:t>周数/学分</w:t>
            </w:r>
          </w:p>
        </w:tc>
        <w:tc>
          <w:tcPr>
            <w:tcW w:w="1598" w:type="dxa"/>
            <w:tcBorders>
              <w:top w:val="single" w:color="auto" w:sz="4" w:space="0"/>
              <w:left w:val="single" w:color="auto" w:sz="4" w:space="0"/>
              <w:bottom w:val="single" w:color="auto" w:sz="4" w:space="0"/>
              <w:right w:val="single" w:color="auto" w:sz="12" w:space="0"/>
            </w:tcBorders>
            <w:noWrap w:val="0"/>
            <w:vAlign w:val="center"/>
          </w:tcPr>
          <w:p>
            <w:pPr>
              <w:jc w:val="center"/>
              <w:rPr>
                <w:rFonts w:eastAsia="等线"/>
                <w:b/>
                <w:szCs w:val="21"/>
              </w:rPr>
            </w:pPr>
            <w:r>
              <w:rPr>
                <w:rFonts w:eastAsia="等线"/>
                <w:b/>
                <w:szCs w:val="21"/>
              </w:rPr>
              <w:t>15/12.0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300"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等线"/>
                <w:b/>
                <w:szCs w:val="21"/>
              </w:rPr>
            </w:pPr>
            <w:r>
              <w:rPr>
                <w:rFonts w:eastAsia="等线"/>
                <w:b/>
                <w:szCs w:val="21"/>
              </w:rPr>
              <w:t>英文名称</w:t>
            </w:r>
          </w:p>
        </w:tc>
        <w:tc>
          <w:tcPr>
            <w:tcW w:w="4029"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等线"/>
                <w:b/>
                <w:szCs w:val="21"/>
              </w:rPr>
            </w:pPr>
            <w:r>
              <w:rPr>
                <w:rFonts w:eastAsia="等线"/>
                <w:b/>
                <w:szCs w:val="21"/>
              </w:rPr>
              <w:t>Graduation design(civil)</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等线"/>
                <w:b/>
                <w:szCs w:val="21"/>
              </w:rPr>
            </w:pPr>
            <w:r>
              <w:rPr>
                <w:rFonts w:eastAsia="等线"/>
                <w:b/>
                <w:szCs w:val="21"/>
              </w:rPr>
              <w:t>考核方式</w:t>
            </w:r>
          </w:p>
        </w:tc>
        <w:tc>
          <w:tcPr>
            <w:tcW w:w="1598" w:type="dxa"/>
            <w:tcBorders>
              <w:top w:val="single" w:color="auto" w:sz="4" w:space="0"/>
              <w:left w:val="single" w:color="auto" w:sz="4" w:space="0"/>
              <w:bottom w:val="single" w:color="auto" w:sz="4" w:space="0"/>
              <w:right w:val="single" w:color="auto" w:sz="12" w:space="0"/>
            </w:tcBorders>
            <w:noWrap w:val="0"/>
            <w:vAlign w:val="center"/>
          </w:tcPr>
          <w:p>
            <w:pPr>
              <w:jc w:val="center"/>
              <w:rPr>
                <w:rFonts w:eastAsia="等线"/>
                <w:b/>
                <w:szCs w:val="21"/>
              </w:rPr>
            </w:pPr>
            <w:r>
              <w:rPr>
                <w:rFonts w:eastAsia="等线"/>
                <w:b/>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300"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等线"/>
                <w:b/>
                <w:szCs w:val="21"/>
              </w:rPr>
            </w:pPr>
            <w:r>
              <w:rPr>
                <w:rFonts w:eastAsia="等线"/>
                <w:b/>
                <w:szCs w:val="21"/>
              </w:rPr>
              <w:t>先修课程</w:t>
            </w:r>
          </w:p>
        </w:tc>
        <w:tc>
          <w:tcPr>
            <w:tcW w:w="7189" w:type="dxa"/>
            <w:gridSpan w:val="3"/>
            <w:tcBorders>
              <w:top w:val="single" w:color="auto" w:sz="4" w:space="0"/>
              <w:left w:val="single" w:color="auto" w:sz="4" w:space="0"/>
              <w:bottom w:val="single" w:color="auto" w:sz="4" w:space="0"/>
              <w:right w:val="single" w:color="auto" w:sz="12" w:space="0"/>
            </w:tcBorders>
            <w:noWrap w:val="0"/>
            <w:vAlign w:val="center"/>
          </w:tcPr>
          <w:p>
            <w:pPr>
              <w:jc w:val="center"/>
              <w:rPr>
                <w:rFonts w:eastAsia="等线"/>
                <w:b/>
                <w:szCs w:val="21"/>
              </w:rPr>
            </w:pPr>
            <w:r>
              <w:rPr>
                <w:rFonts w:eastAsia="等线"/>
                <w:b/>
                <w:szCs w:val="21"/>
              </w:rPr>
              <w:t>完成土木工程专业所有课程的学习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300" w:type="dxa"/>
            <w:tcBorders>
              <w:top w:val="single" w:color="auto" w:sz="4" w:space="0"/>
              <w:left w:val="single" w:color="auto" w:sz="12" w:space="0"/>
              <w:bottom w:val="single" w:color="auto" w:sz="4" w:space="0"/>
              <w:right w:val="single" w:color="auto" w:sz="4" w:space="0"/>
            </w:tcBorders>
            <w:noWrap w:val="0"/>
            <w:vAlign w:val="center"/>
          </w:tcPr>
          <w:p>
            <w:pPr>
              <w:jc w:val="center"/>
              <w:rPr>
                <w:rFonts w:eastAsia="等线"/>
                <w:b/>
                <w:szCs w:val="21"/>
              </w:rPr>
            </w:pPr>
            <w:r>
              <w:rPr>
                <w:rFonts w:eastAsia="等线"/>
                <w:b/>
                <w:szCs w:val="21"/>
              </w:rPr>
              <w:t>适用专业</w:t>
            </w:r>
          </w:p>
        </w:tc>
        <w:tc>
          <w:tcPr>
            <w:tcW w:w="7189" w:type="dxa"/>
            <w:gridSpan w:val="3"/>
            <w:tcBorders>
              <w:top w:val="single" w:color="auto" w:sz="4" w:space="0"/>
              <w:left w:val="single" w:color="auto" w:sz="4" w:space="0"/>
              <w:bottom w:val="single" w:color="auto" w:sz="4" w:space="0"/>
              <w:right w:val="single" w:color="auto" w:sz="12" w:space="0"/>
            </w:tcBorders>
            <w:noWrap w:val="0"/>
            <w:vAlign w:val="center"/>
          </w:tcPr>
          <w:p>
            <w:pPr>
              <w:jc w:val="center"/>
              <w:rPr>
                <w:rFonts w:eastAsia="等线"/>
                <w:b/>
                <w:szCs w:val="21"/>
              </w:rPr>
            </w:pPr>
            <w:r>
              <w:rPr>
                <w:rFonts w:eastAsia="等线"/>
                <w:b/>
                <w:szCs w:val="21"/>
              </w:rPr>
              <w:t>土木工程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8489" w:type="dxa"/>
            <w:gridSpan w:val="4"/>
            <w:tcBorders>
              <w:top w:val="single" w:color="auto" w:sz="4" w:space="0"/>
              <w:left w:val="single" w:color="auto" w:sz="12" w:space="0"/>
              <w:bottom w:val="single" w:color="auto" w:sz="12" w:space="0"/>
              <w:right w:val="single" w:color="auto" w:sz="12" w:space="0"/>
            </w:tcBorders>
            <w:noWrap w:val="0"/>
            <w:vAlign w:val="top"/>
          </w:tcPr>
          <w:p>
            <w:pPr>
              <w:spacing w:line="400" w:lineRule="exact"/>
              <w:jc w:val="left"/>
              <w:rPr>
                <w:szCs w:val="21"/>
              </w:rPr>
            </w:pPr>
            <w:r>
              <w:rPr>
                <w:szCs w:val="21"/>
              </w:rPr>
              <w:t>课程简介：</w:t>
            </w:r>
          </w:p>
          <w:p>
            <w:pPr>
              <w:spacing w:after="156" w:afterLines="50"/>
              <w:ind w:firstLine="420" w:firstLineChars="200"/>
              <w:jc w:val="left"/>
              <w:rPr>
                <w:b/>
                <w:szCs w:val="21"/>
              </w:rPr>
            </w:pPr>
            <w:r>
              <w:rPr>
                <w:szCs w:val="21"/>
              </w:rPr>
              <w:t>毕业设计是学生完成教学计划规定的全部课程学习之后，毕业设计采用导师负责制，是大学最后阶段重要的实践性教学环节。学生按照指导教师的要求进行结构设计、施工组织设计或毕业论文，使学生不仅能够掌握土木工程设计、施工的基本理论及方法，而且重点培养学生对实际工程的分析和解决问题的能力，培养学生科学严谨的学习态度，培养学生热爱本专业，培养学生爱岗敬业的职业道德修养。</w:t>
            </w:r>
          </w:p>
        </w:tc>
      </w:tr>
    </w:tbl>
    <w:p>
      <w:pPr>
        <w:rPr>
          <w:rFonts w:eastAsia="等线"/>
          <w:b/>
          <w:bCs/>
          <w:sz w:val="24"/>
          <w:szCs w:val="24"/>
        </w:rPr>
      </w:pPr>
      <w:r>
        <w:rPr>
          <w:rFonts w:eastAsia="等线"/>
          <w:b/>
          <w:bCs/>
          <w:sz w:val="24"/>
          <w:szCs w:val="24"/>
        </w:rPr>
        <w:t>2. 课程目标与毕业要求的对应关系</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2794"/>
        <w:gridCol w:w="3997"/>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pct"/>
            <w:noWrap w:val="0"/>
            <w:vAlign w:val="center"/>
          </w:tcPr>
          <w:p>
            <w:pPr>
              <w:widowControl/>
              <w:jc w:val="center"/>
              <w:rPr>
                <w:b/>
                <w:bCs/>
                <w:kern w:val="0"/>
                <w:szCs w:val="21"/>
              </w:rPr>
            </w:pPr>
            <w:r>
              <w:rPr>
                <w:b/>
                <w:bCs/>
                <w:kern w:val="0"/>
                <w:szCs w:val="21"/>
              </w:rPr>
              <w:t>毕业要求</w:t>
            </w:r>
          </w:p>
        </w:tc>
        <w:tc>
          <w:tcPr>
            <w:tcW w:w="1620" w:type="pct"/>
            <w:noWrap w:val="0"/>
            <w:vAlign w:val="center"/>
          </w:tcPr>
          <w:p>
            <w:pPr>
              <w:widowControl/>
              <w:jc w:val="center"/>
              <w:rPr>
                <w:b/>
                <w:bCs/>
                <w:kern w:val="0"/>
                <w:szCs w:val="21"/>
              </w:rPr>
            </w:pPr>
            <w:r>
              <w:rPr>
                <w:b/>
                <w:bCs/>
                <w:kern w:val="0"/>
                <w:szCs w:val="21"/>
              </w:rPr>
              <w:t>指标点</w:t>
            </w:r>
          </w:p>
        </w:tc>
        <w:tc>
          <w:tcPr>
            <w:tcW w:w="2318" w:type="pct"/>
            <w:noWrap w:val="0"/>
            <w:vAlign w:val="center"/>
          </w:tcPr>
          <w:p>
            <w:pPr>
              <w:widowControl/>
              <w:jc w:val="center"/>
              <w:rPr>
                <w:b/>
                <w:bCs/>
                <w:kern w:val="0"/>
                <w:szCs w:val="21"/>
              </w:rPr>
            </w:pPr>
            <w:r>
              <w:rPr>
                <w:b/>
                <w:bCs/>
                <w:kern w:val="0"/>
                <w:szCs w:val="21"/>
              </w:rPr>
              <w:t>课程目标</w:t>
            </w:r>
          </w:p>
        </w:tc>
        <w:tc>
          <w:tcPr>
            <w:tcW w:w="399" w:type="pct"/>
            <w:noWrap w:val="0"/>
            <w:vAlign w:val="center"/>
          </w:tcPr>
          <w:p>
            <w:pPr>
              <w:widowControl/>
              <w:jc w:val="center"/>
              <w:rPr>
                <w:b/>
                <w:bCs/>
                <w:kern w:val="0"/>
                <w:szCs w:val="21"/>
              </w:rPr>
            </w:pPr>
            <w:r>
              <w:rPr>
                <w:b/>
                <w:bCs/>
                <w:kern w:val="0"/>
                <w:szCs w:val="21"/>
              </w:rPr>
              <w:t>支撑强度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661" w:type="pct"/>
            <w:noWrap w:val="0"/>
            <w:vAlign w:val="center"/>
          </w:tcPr>
          <w:p>
            <w:pPr>
              <w:jc w:val="center"/>
              <w:rPr>
                <w:szCs w:val="21"/>
              </w:rPr>
            </w:pPr>
            <w:r>
              <w:rPr>
                <w:szCs w:val="21"/>
              </w:rPr>
              <w:t>2问题分析</w:t>
            </w:r>
          </w:p>
        </w:tc>
        <w:tc>
          <w:tcPr>
            <w:tcW w:w="1620" w:type="pct"/>
            <w:noWrap w:val="0"/>
            <w:vAlign w:val="center"/>
          </w:tcPr>
          <w:p>
            <w:pPr>
              <w:jc w:val="left"/>
              <w:rPr>
                <w:szCs w:val="21"/>
              </w:rPr>
            </w:pPr>
            <w:r>
              <w:rPr>
                <w:szCs w:val="21"/>
              </w:rPr>
              <w:t>2.</w:t>
            </w:r>
            <w:r>
              <w:rPr>
                <w:rFonts w:hint="eastAsia"/>
                <w:szCs w:val="21"/>
              </w:rPr>
              <w:t>3能够正确表达一个工程问题的解决方案，能运用基本原理，分析过程的影响因素，证实解决方案的合理性</w:t>
            </w:r>
            <w:r>
              <w:rPr>
                <w:szCs w:val="21"/>
              </w:rPr>
              <w:t>。</w:t>
            </w:r>
          </w:p>
        </w:tc>
        <w:tc>
          <w:tcPr>
            <w:tcW w:w="2318" w:type="pct"/>
            <w:noWrap w:val="0"/>
            <w:vAlign w:val="center"/>
          </w:tcPr>
          <w:p>
            <w:pPr>
              <w:jc w:val="left"/>
              <w:rPr>
                <w:szCs w:val="21"/>
              </w:rPr>
            </w:pPr>
            <w:bookmarkStart w:id="0" w:name="OLE_LINK4"/>
            <w:r>
              <w:rPr>
                <w:szCs w:val="21"/>
              </w:rPr>
              <w:t>CO</w:t>
            </w:r>
            <w:bookmarkEnd w:id="0"/>
            <w:r>
              <w:rPr>
                <w:szCs w:val="21"/>
              </w:rPr>
              <w:t>1：培养学生文献查阅、分析、综述的能力，并能够独立提出可行的方案，</w:t>
            </w:r>
            <w:r>
              <w:rPr>
                <w:bCs/>
                <w:szCs w:val="21"/>
              </w:rPr>
              <w:t>培养学生科学严谨的学习态度和认真负责的职业素养。</w:t>
            </w:r>
          </w:p>
        </w:tc>
        <w:tc>
          <w:tcPr>
            <w:tcW w:w="399" w:type="pct"/>
            <w:noWrap w:val="0"/>
            <w:vAlign w:val="center"/>
          </w:tcPr>
          <w:p>
            <w:pPr>
              <w:jc w:val="center"/>
              <w:rPr>
                <w:szCs w:val="21"/>
              </w:rPr>
            </w:pPr>
            <w:r>
              <w:rPr>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61" w:type="pct"/>
            <w:vMerge w:val="restart"/>
            <w:noWrap w:val="0"/>
            <w:vAlign w:val="center"/>
          </w:tcPr>
          <w:p>
            <w:pPr>
              <w:jc w:val="center"/>
              <w:rPr>
                <w:szCs w:val="21"/>
              </w:rPr>
            </w:pPr>
            <w:r>
              <w:rPr>
                <w:szCs w:val="21"/>
              </w:rPr>
              <w:t>3设计解决方案</w:t>
            </w:r>
          </w:p>
        </w:tc>
        <w:tc>
          <w:tcPr>
            <w:tcW w:w="1620" w:type="pct"/>
            <w:noWrap w:val="0"/>
            <w:vAlign w:val="center"/>
          </w:tcPr>
          <w:p>
            <w:pPr>
              <w:jc w:val="left"/>
              <w:rPr>
                <w:szCs w:val="21"/>
              </w:rPr>
            </w:pPr>
            <w:r>
              <w:rPr>
                <w:szCs w:val="21"/>
              </w:rPr>
              <w:t>3.3具有集成专业知识，</w:t>
            </w:r>
            <w:r>
              <w:rPr>
                <w:rFonts w:hint="eastAsia"/>
                <w:szCs w:val="21"/>
              </w:rPr>
              <w:t>通过计算分析，对</w:t>
            </w:r>
            <w:r>
              <w:rPr>
                <w:szCs w:val="21"/>
              </w:rPr>
              <w:t>设计和施工方案进行优选，体现创新意识。</w:t>
            </w:r>
          </w:p>
        </w:tc>
        <w:tc>
          <w:tcPr>
            <w:tcW w:w="2318" w:type="pct"/>
            <w:noWrap w:val="0"/>
            <w:vAlign w:val="center"/>
          </w:tcPr>
          <w:p>
            <w:pPr>
              <w:jc w:val="left"/>
              <w:rPr>
                <w:szCs w:val="21"/>
              </w:rPr>
            </w:pPr>
            <w:r>
              <w:rPr>
                <w:szCs w:val="21"/>
              </w:rPr>
              <w:t>CO2：培养学生正确分析毕业设计（论文）实施过程中遇到的各种问题及相关数据的能力，并能够提出解决问题的合理方案。</w:t>
            </w:r>
          </w:p>
        </w:tc>
        <w:tc>
          <w:tcPr>
            <w:tcW w:w="399" w:type="pct"/>
            <w:noWrap w:val="0"/>
            <w:vAlign w:val="center"/>
          </w:tcPr>
          <w:p>
            <w:pPr>
              <w:jc w:val="center"/>
              <w:rPr>
                <w:szCs w:val="21"/>
              </w:rPr>
            </w:pPr>
            <w:r>
              <w:rPr>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61" w:type="pct"/>
            <w:vMerge w:val="continue"/>
            <w:noWrap w:val="0"/>
            <w:vAlign w:val="center"/>
          </w:tcPr>
          <w:p>
            <w:pPr>
              <w:jc w:val="center"/>
              <w:rPr>
                <w:szCs w:val="21"/>
              </w:rPr>
            </w:pPr>
          </w:p>
        </w:tc>
        <w:tc>
          <w:tcPr>
            <w:tcW w:w="1620" w:type="pct"/>
            <w:noWrap w:val="0"/>
            <w:vAlign w:val="center"/>
          </w:tcPr>
          <w:p>
            <w:pPr>
              <w:jc w:val="left"/>
              <w:rPr>
                <w:szCs w:val="21"/>
              </w:rPr>
            </w:pPr>
            <w:r>
              <w:rPr>
                <w:szCs w:val="21"/>
              </w:rPr>
              <w:t>3.4能够用图纸和设计报告等形式，呈现设计成果进行评价。</w:t>
            </w:r>
          </w:p>
        </w:tc>
        <w:tc>
          <w:tcPr>
            <w:tcW w:w="2318" w:type="pct"/>
            <w:noWrap w:val="0"/>
            <w:vAlign w:val="center"/>
          </w:tcPr>
          <w:p>
            <w:pPr>
              <w:jc w:val="left"/>
              <w:rPr>
                <w:szCs w:val="21"/>
              </w:rPr>
            </w:pPr>
            <w:r>
              <w:rPr>
                <w:szCs w:val="21"/>
              </w:rPr>
              <w:t>CO3：能熟练运用本专业所必须的基础理论和基本专业知识，分析问题、解决问题的能力。</w:t>
            </w:r>
          </w:p>
        </w:tc>
        <w:tc>
          <w:tcPr>
            <w:tcW w:w="399" w:type="pct"/>
            <w:noWrap w:val="0"/>
            <w:vAlign w:val="center"/>
          </w:tcPr>
          <w:p>
            <w:pPr>
              <w:jc w:val="center"/>
              <w:rPr>
                <w:szCs w:val="21"/>
              </w:rPr>
            </w:pPr>
            <w:r>
              <w:rPr>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pct"/>
            <w:noWrap w:val="0"/>
            <w:vAlign w:val="center"/>
          </w:tcPr>
          <w:p>
            <w:pPr>
              <w:jc w:val="center"/>
              <w:rPr>
                <w:szCs w:val="21"/>
              </w:rPr>
            </w:pPr>
            <w:r>
              <w:rPr>
                <w:szCs w:val="21"/>
              </w:rPr>
              <w:t>12终身学习</w:t>
            </w:r>
          </w:p>
        </w:tc>
        <w:tc>
          <w:tcPr>
            <w:tcW w:w="1620" w:type="pct"/>
            <w:noWrap w:val="0"/>
            <w:vAlign w:val="center"/>
          </w:tcPr>
          <w:p>
            <w:pPr>
              <w:jc w:val="left"/>
              <w:rPr>
                <w:rFonts w:eastAsia="等线"/>
                <w:kern w:val="0"/>
                <w:szCs w:val="21"/>
              </w:rPr>
            </w:pPr>
            <w:r>
              <w:rPr>
                <w:szCs w:val="21"/>
              </w:rPr>
              <w:t>12.2掌握自主学习的方法,了解拓展知识和能力途径。</w:t>
            </w:r>
          </w:p>
        </w:tc>
        <w:tc>
          <w:tcPr>
            <w:tcW w:w="2318" w:type="pct"/>
            <w:noWrap w:val="0"/>
            <w:vAlign w:val="center"/>
          </w:tcPr>
          <w:p>
            <w:pPr>
              <w:jc w:val="left"/>
              <w:rPr>
                <w:szCs w:val="21"/>
              </w:rPr>
            </w:pPr>
            <w:r>
              <w:rPr>
                <w:szCs w:val="21"/>
              </w:rPr>
              <w:t>CO4：能够对方案进行优选，能够提出一些创新性设想，毕业设计（论文）成果满足设计任务要求，层次清晰、全面规范完成毕业设计（论文）工作。</w:t>
            </w:r>
          </w:p>
        </w:tc>
        <w:tc>
          <w:tcPr>
            <w:tcW w:w="399" w:type="pct"/>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661" w:type="pct"/>
            <w:noWrap w:val="0"/>
            <w:vAlign w:val="center"/>
          </w:tcPr>
          <w:p>
            <w:pPr>
              <w:jc w:val="center"/>
              <w:rPr>
                <w:szCs w:val="21"/>
              </w:rPr>
            </w:pPr>
            <w:r>
              <w:rPr>
                <w:szCs w:val="21"/>
              </w:rPr>
              <w:t>10沟通</w:t>
            </w:r>
          </w:p>
        </w:tc>
        <w:tc>
          <w:tcPr>
            <w:tcW w:w="1620" w:type="pct"/>
            <w:noWrap w:val="0"/>
            <w:vAlign w:val="center"/>
          </w:tcPr>
          <w:p>
            <w:pPr>
              <w:jc w:val="left"/>
              <w:rPr>
                <w:szCs w:val="21"/>
              </w:rPr>
            </w:pPr>
            <w:r>
              <w:rPr>
                <w:rFonts w:eastAsia="等线"/>
                <w:kern w:val="0"/>
                <w:szCs w:val="21"/>
              </w:rPr>
              <w:t>10.1</w:t>
            </w:r>
            <w:r>
              <w:rPr>
                <w:kern w:val="0"/>
                <w:szCs w:val="21"/>
              </w:rPr>
              <w:t>具有较好的文字及语言表达能力，能够就土木工程专业的复杂工程问题与业界同行及社会公众进行有效的沟通和交流。</w:t>
            </w:r>
          </w:p>
        </w:tc>
        <w:tc>
          <w:tcPr>
            <w:tcW w:w="2318" w:type="pct"/>
            <w:noWrap w:val="0"/>
            <w:vAlign w:val="center"/>
          </w:tcPr>
          <w:p>
            <w:pPr>
              <w:jc w:val="left"/>
              <w:rPr>
                <w:rFonts w:hint="eastAsia"/>
                <w:szCs w:val="21"/>
              </w:rPr>
            </w:pPr>
            <w:r>
              <w:rPr>
                <w:szCs w:val="21"/>
              </w:rPr>
              <w:t>CO5：能够流利、清楚、重点突出地展现和表达毕业设计（论文）工作</w:t>
            </w:r>
            <w:r>
              <w:rPr>
                <w:rFonts w:hint="eastAsia"/>
                <w:szCs w:val="21"/>
              </w:rPr>
              <w:t>。</w:t>
            </w:r>
          </w:p>
        </w:tc>
        <w:tc>
          <w:tcPr>
            <w:tcW w:w="399" w:type="pct"/>
            <w:vMerge w:val="restart"/>
            <w:noWrap w:val="0"/>
            <w:vAlign w:val="center"/>
          </w:tcPr>
          <w:p>
            <w:pPr>
              <w:jc w:val="center"/>
              <w:rPr>
                <w:szCs w:val="21"/>
              </w:rPr>
            </w:pPr>
            <w:r>
              <w:rPr>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pct"/>
            <w:noWrap w:val="0"/>
            <w:vAlign w:val="center"/>
          </w:tcPr>
          <w:p>
            <w:pPr>
              <w:jc w:val="center"/>
              <w:rPr>
                <w:szCs w:val="21"/>
              </w:rPr>
            </w:pPr>
            <w:r>
              <w:rPr>
                <w:szCs w:val="21"/>
              </w:rPr>
              <w:t>12终身学习</w:t>
            </w:r>
          </w:p>
        </w:tc>
        <w:tc>
          <w:tcPr>
            <w:tcW w:w="1620" w:type="pct"/>
            <w:noWrap w:val="0"/>
            <w:vAlign w:val="center"/>
          </w:tcPr>
          <w:p>
            <w:pPr>
              <w:jc w:val="left"/>
              <w:rPr>
                <w:szCs w:val="21"/>
              </w:rPr>
            </w:pPr>
            <w:r>
              <w:rPr>
                <w:rFonts w:hint="eastAsia"/>
                <w:szCs w:val="21"/>
              </w:rPr>
              <w:t>12.3能够针对个人或职业发展的需要，采用合适的方法自主学习，适应发展。</w:t>
            </w:r>
          </w:p>
        </w:tc>
        <w:tc>
          <w:tcPr>
            <w:tcW w:w="2318" w:type="pct"/>
            <w:noWrap w:val="0"/>
            <w:vAlign w:val="center"/>
          </w:tcPr>
          <w:p>
            <w:pPr>
              <w:jc w:val="left"/>
              <w:rPr>
                <w:rFonts w:hint="eastAsia"/>
                <w:szCs w:val="21"/>
              </w:rPr>
            </w:pPr>
            <w:r>
              <w:rPr>
                <w:szCs w:val="21"/>
              </w:rPr>
              <w:t>CO6：培养学生严谨、诚实、勤奋的学习态度，合理安排工作进度、保质保量完成相关工作的能力</w:t>
            </w:r>
            <w:r>
              <w:rPr>
                <w:rFonts w:hint="eastAsia"/>
                <w:szCs w:val="21"/>
              </w:rPr>
              <w:t>。</w:t>
            </w:r>
          </w:p>
        </w:tc>
        <w:tc>
          <w:tcPr>
            <w:tcW w:w="399" w:type="pct"/>
            <w:vMerge w:val="continue"/>
            <w:noWrap w:val="0"/>
            <w:vAlign w:val="center"/>
          </w:tcPr>
          <w:p>
            <w:pPr>
              <w:jc w:val="center"/>
              <w:rPr>
                <w:szCs w:val="21"/>
              </w:rPr>
            </w:pPr>
          </w:p>
        </w:tc>
      </w:tr>
    </w:tbl>
    <w:p>
      <w:pPr>
        <w:spacing w:line="360" w:lineRule="auto"/>
        <w:rPr>
          <w:rFonts w:eastAsia="等线"/>
          <w:b/>
          <w:bCs/>
          <w:sz w:val="24"/>
          <w:szCs w:val="24"/>
        </w:rPr>
      </w:pPr>
      <w:r>
        <w:rPr>
          <w:rFonts w:eastAsia="等线"/>
          <w:b/>
          <w:bCs/>
          <w:sz w:val="24"/>
          <w:szCs w:val="24"/>
        </w:rPr>
        <w:t>3. 课程考核方式</w:t>
      </w:r>
    </w:p>
    <w:p>
      <w:pPr>
        <w:spacing w:line="360" w:lineRule="auto"/>
        <w:ind w:firstLine="480" w:firstLineChars="200"/>
        <w:rPr>
          <w:sz w:val="24"/>
          <w:szCs w:val="24"/>
        </w:rPr>
      </w:pPr>
      <w:r>
        <w:rPr>
          <w:sz w:val="24"/>
          <w:szCs w:val="24"/>
        </w:rPr>
        <w:t>课程总成绩=指导老师成绩（EM1，EM2，EM4，EM5）30%+评阅老师成绩（EM4，EM5）30%+答辩成绩（EM3）40%</w:t>
      </w:r>
    </w:p>
    <w:p>
      <w:pPr>
        <w:rPr>
          <w:rFonts w:eastAsia="等线"/>
          <w:b/>
          <w:bCs/>
          <w:sz w:val="24"/>
          <w:szCs w:val="24"/>
        </w:rPr>
      </w:pPr>
      <w:r>
        <w:rPr>
          <w:rFonts w:eastAsia="等线"/>
          <w:b/>
          <w:bCs/>
          <w:sz w:val="24"/>
          <w:szCs w:val="24"/>
        </w:rPr>
        <w:t>4. 课程目标评价</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1868"/>
        <w:gridCol w:w="2013"/>
        <w:gridCol w:w="2156"/>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02" w:type="dxa"/>
            <w:vMerge w:val="restart"/>
            <w:noWrap w:val="0"/>
            <w:tcMar>
              <w:left w:w="0" w:type="dxa"/>
              <w:right w:w="0" w:type="dxa"/>
            </w:tcMar>
            <w:vAlign w:val="center"/>
          </w:tcPr>
          <w:p>
            <w:pPr>
              <w:jc w:val="center"/>
              <w:rPr>
                <w:b/>
                <w:szCs w:val="21"/>
              </w:rPr>
            </w:pPr>
            <w:r>
              <w:rPr>
                <w:b/>
                <w:szCs w:val="21"/>
              </w:rPr>
              <w:t>课程目标</w:t>
            </w:r>
          </w:p>
        </w:tc>
        <w:tc>
          <w:tcPr>
            <w:tcW w:w="7412" w:type="dxa"/>
            <w:gridSpan w:val="4"/>
            <w:noWrap w:val="0"/>
            <w:tcMar>
              <w:left w:w="0" w:type="dxa"/>
              <w:right w:w="0" w:type="dxa"/>
            </w:tcMar>
            <w:vAlign w:val="center"/>
          </w:tcPr>
          <w:p>
            <w:pPr>
              <w:jc w:val="center"/>
              <w:rPr>
                <w:b/>
                <w:szCs w:val="21"/>
              </w:rPr>
            </w:pPr>
            <w:r>
              <w:rPr>
                <w:b/>
                <w:szCs w:val="21"/>
              </w:rPr>
              <w:t>评价环节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02" w:type="dxa"/>
            <w:vMerge w:val="continue"/>
            <w:noWrap w:val="0"/>
            <w:tcMar>
              <w:left w:w="0" w:type="dxa"/>
              <w:right w:w="0" w:type="dxa"/>
            </w:tcMar>
            <w:vAlign w:val="center"/>
          </w:tcPr>
          <w:p>
            <w:pPr>
              <w:jc w:val="center"/>
              <w:rPr>
                <w:szCs w:val="21"/>
              </w:rPr>
            </w:pPr>
          </w:p>
        </w:tc>
        <w:tc>
          <w:tcPr>
            <w:tcW w:w="1868" w:type="dxa"/>
            <w:noWrap w:val="0"/>
            <w:tcMar>
              <w:left w:w="0" w:type="dxa"/>
              <w:right w:w="0" w:type="dxa"/>
            </w:tcMar>
            <w:vAlign w:val="center"/>
          </w:tcPr>
          <w:p>
            <w:pPr>
              <w:jc w:val="center"/>
              <w:rPr>
                <w:b/>
                <w:bCs/>
                <w:szCs w:val="21"/>
              </w:rPr>
            </w:pPr>
            <w:r>
              <w:rPr>
                <w:b/>
                <w:bCs/>
                <w:szCs w:val="21"/>
              </w:rPr>
              <w:t>指导教师</w:t>
            </w:r>
          </w:p>
        </w:tc>
        <w:tc>
          <w:tcPr>
            <w:tcW w:w="2013" w:type="dxa"/>
            <w:noWrap w:val="0"/>
            <w:tcMar>
              <w:left w:w="0" w:type="dxa"/>
              <w:right w:w="0" w:type="dxa"/>
            </w:tcMar>
            <w:vAlign w:val="center"/>
          </w:tcPr>
          <w:p>
            <w:pPr>
              <w:jc w:val="center"/>
              <w:rPr>
                <w:b/>
                <w:bCs/>
                <w:szCs w:val="21"/>
              </w:rPr>
            </w:pPr>
            <w:r>
              <w:rPr>
                <w:b/>
                <w:bCs/>
                <w:szCs w:val="21"/>
              </w:rPr>
              <w:t>评阅教师</w:t>
            </w:r>
          </w:p>
        </w:tc>
        <w:tc>
          <w:tcPr>
            <w:tcW w:w="2156" w:type="dxa"/>
            <w:noWrap w:val="0"/>
            <w:tcMar>
              <w:left w:w="0" w:type="dxa"/>
              <w:right w:w="0" w:type="dxa"/>
            </w:tcMar>
            <w:vAlign w:val="center"/>
          </w:tcPr>
          <w:p>
            <w:pPr>
              <w:jc w:val="center"/>
              <w:rPr>
                <w:b/>
                <w:bCs/>
                <w:szCs w:val="21"/>
              </w:rPr>
            </w:pPr>
            <w:r>
              <w:rPr>
                <w:b/>
                <w:bCs/>
                <w:szCs w:val="21"/>
              </w:rPr>
              <w:t>答辩委员会</w:t>
            </w:r>
          </w:p>
        </w:tc>
        <w:tc>
          <w:tcPr>
            <w:tcW w:w="1375" w:type="dxa"/>
            <w:noWrap w:val="0"/>
            <w:vAlign w:val="center"/>
          </w:tcPr>
          <w:p>
            <w:pPr>
              <w:jc w:val="center"/>
              <w:rPr>
                <w:b/>
                <w:bCs/>
                <w:szCs w:val="21"/>
              </w:rPr>
            </w:pPr>
            <w:r>
              <w:rPr>
                <w:b/>
                <w:bCs/>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2" w:type="dxa"/>
            <w:noWrap w:val="0"/>
            <w:tcMar>
              <w:left w:w="0" w:type="dxa"/>
              <w:right w:w="0" w:type="dxa"/>
            </w:tcMar>
            <w:vAlign w:val="center"/>
          </w:tcPr>
          <w:p>
            <w:pPr>
              <w:jc w:val="center"/>
              <w:rPr>
                <w:szCs w:val="21"/>
              </w:rPr>
            </w:pPr>
            <w:r>
              <w:rPr>
                <w:szCs w:val="21"/>
              </w:rPr>
              <w:t>目标1</w:t>
            </w:r>
          </w:p>
        </w:tc>
        <w:tc>
          <w:tcPr>
            <w:tcW w:w="1868" w:type="dxa"/>
            <w:noWrap w:val="0"/>
            <w:tcMar>
              <w:left w:w="0" w:type="dxa"/>
              <w:right w:w="0" w:type="dxa"/>
            </w:tcMar>
            <w:vAlign w:val="center"/>
          </w:tcPr>
          <w:p>
            <w:pPr>
              <w:jc w:val="center"/>
              <w:rPr>
                <w:szCs w:val="21"/>
              </w:rPr>
            </w:pPr>
            <w:r>
              <w:rPr>
                <w:szCs w:val="21"/>
              </w:rPr>
              <w:t>指导教师评分/10分</w:t>
            </w:r>
          </w:p>
        </w:tc>
        <w:tc>
          <w:tcPr>
            <w:tcW w:w="2013" w:type="dxa"/>
            <w:noWrap w:val="0"/>
            <w:tcMar>
              <w:left w:w="0" w:type="dxa"/>
              <w:right w:w="0" w:type="dxa"/>
            </w:tcMar>
            <w:vAlign w:val="center"/>
          </w:tcPr>
          <w:p>
            <w:pPr>
              <w:jc w:val="center"/>
              <w:rPr>
                <w:szCs w:val="21"/>
              </w:rPr>
            </w:pPr>
          </w:p>
        </w:tc>
        <w:tc>
          <w:tcPr>
            <w:tcW w:w="2156" w:type="dxa"/>
            <w:noWrap w:val="0"/>
            <w:tcMar>
              <w:left w:w="0" w:type="dxa"/>
              <w:right w:w="0" w:type="dxa"/>
            </w:tcMar>
            <w:vAlign w:val="center"/>
          </w:tcPr>
          <w:p>
            <w:pPr>
              <w:jc w:val="center"/>
              <w:rPr>
                <w:szCs w:val="21"/>
              </w:rPr>
            </w:pPr>
          </w:p>
        </w:tc>
        <w:tc>
          <w:tcPr>
            <w:tcW w:w="1375" w:type="dxa"/>
            <w:noWrap w:val="0"/>
            <w:vAlign w:val="center"/>
          </w:tcPr>
          <w:p>
            <w:pPr>
              <w:jc w:val="center"/>
              <w:rPr>
                <w:szCs w:val="21"/>
              </w:rPr>
            </w:pPr>
            <w:r>
              <w:rPr>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2" w:type="dxa"/>
            <w:noWrap w:val="0"/>
            <w:tcMar>
              <w:left w:w="0" w:type="dxa"/>
              <w:right w:w="0" w:type="dxa"/>
            </w:tcMar>
            <w:vAlign w:val="center"/>
          </w:tcPr>
          <w:p>
            <w:pPr>
              <w:jc w:val="center"/>
              <w:rPr>
                <w:szCs w:val="21"/>
              </w:rPr>
            </w:pPr>
            <w:r>
              <w:rPr>
                <w:szCs w:val="21"/>
              </w:rPr>
              <w:t>目标2</w:t>
            </w:r>
          </w:p>
        </w:tc>
        <w:tc>
          <w:tcPr>
            <w:tcW w:w="1868" w:type="dxa"/>
            <w:noWrap w:val="0"/>
            <w:tcMar>
              <w:left w:w="0" w:type="dxa"/>
              <w:right w:w="0" w:type="dxa"/>
            </w:tcMar>
            <w:vAlign w:val="center"/>
          </w:tcPr>
          <w:p>
            <w:pPr>
              <w:jc w:val="center"/>
              <w:rPr>
                <w:szCs w:val="21"/>
              </w:rPr>
            </w:pPr>
            <w:r>
              <w:rPr>
                <w:szCs w:val="21"/>
              </w:rPr>
              <w:t>指导教师评分/15分</w:t>
            </w:r>
          </w:p>
        </w:tc>
        <w:tc>
          <w:tcPr>
            <w:tcW w:w="2013" w:type="dxa"/>
            <w:noWrap w:val="0"/>
            <w:tcMar>
              <w:left w:w="0" w:type="dxa"/>
              <w:right w:w="0" w:type="dxa"/>
            </w:tcMar>
            <w:vAlign w:val="center"/>
          </w:tcPr>
          <w:p>
            <w:pPr>
              <w:jc w:val="center"/>
              <w:rPr>
                <w:szCs w:val="21"/>
              </w:rPr>
            </w:pPr>
          </w:p>
        </w:tc>
        <w:tc>
          <w:tcPr>
            <w:tcW w:w="2156" w:type="dxa"/>
            <w:noWrap w:val="0"/>
            <w:tcMar>
              <w:left w:w="0" w:type="dxa"/>
              <w:right w:w="0" w:type="dxa"/>
            </w:tcMar>
            <w:vAlign w:val="center"/>
          </w:tcPr>
          <w:p>
            <w:pPr>
              <w:jc w:val="center"/>
              <w:rPr>
                <w:szCs w:val="21"/>
              </w:rPr>
            </w:pPr>
          </w:p>
        </w:tc>
        <w:tc>
          <w:tcPr>
            <w:tcW w:w="1375" w:type="dxa"/>
            <w:noWrap w:val="0"/>
            <w:vAlign w:val="center"/>
          </w:tcPr>
          <w:p>
            <w:pPr>
              <w:jc w:val="center"/>
              <w:rPr>
                <w:szCs w:val="21"/>
              </w:rPr>
            </w:pPr>
            <w:r>
              <w:rPr>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2" w:type="dxa"/>
            <w:noWrap w:val="0"/>
            <w:tcMar>
              <w:left w:w="0" w:type="dxa"/>
              <w:right w:w="0" w:type="dxa"/>
            </w:tcMar>
            <w:vAlign w:val="center"/>
          </w:tcPr>
          <w:p>
            <w:pPr>
              <w:jc w:val="center"/>
              <w:rPr>
                <w:szCs w:val="21"/>
              </w:rPr>
            </w:pPr>
            <w:r>
              <w:rPr>
                <w:szCs w:val="21"/>
              </w:rPr>
              <w:t>目标3</w:t>
            </w:r>
          </w:p>
        </w:tc>
        <w:tc>
          <w:tcPr>
            <w:tcW w:w="1868" w:type="dxa"/>
            <w:noWrap w:val="0"/>
            <w:tcMar>
              <w:left w:w="0" w:type="dxa"/>
              <w:right w:w="0" w:type="dxa"/>
            </w:tcMar>
            <w:vAlign w:val="center"/>
          </w:tcPr>
          <w:p>
            <w:pPr>
              <w:jc w:val="center"/>
              <w:rPr>
                <w:szCs w:val="21"/>
              </w:rPr>
            </w:pPr>
          </w:p>
        </w:tc>
        <w:tc>
          <w:tcPr>
            <w:tcW w:w="2013" w:type="dxa"/>
            <w:noWrap w:val="0"/>
            <w:tcMar>
              <w:left w:w="0" w:type="dxa"/>
              <w:right w:w="0" w:type="dxa"/>
            </w:tcMar>
            <w:vAlign w:val="center"/>
          </w:tcPr>
          <w:p>
            <w:pPr>
              <w:jc w:val="center"/>
              <w:rPr>
                <w:szCs w:val="21"/>
              </w:rPr>
            </w:pPr>
            <w:r>
              <w:rPr>
                <w:szCs w:val="21"/>
              </w:rPr>
              <w:t>评阅教师评分/20分</w:t>
            </w:r>
          </w:p>
        </w:tc>
        <w:tc>
          <w:tcPr>
            <w:tcW w:w="2156" w:type="dxa"/>
            <w:noWrap w:val="0"/>
            <w:tcMar>
              <w:left w:w="0" w:type="dxa"/>
              <w:right w:w="0" w:type="dxa"/>
            </w:tcMar>
            <w:vAlign w:val="center"/>
          </w:tcPr>
          <w:p>
            <w:pPr>
              <w:jc w:val="center"/>
              <w:rPr>
                <w:szCs w:val="21"/>
              </w:rPr>
            </w:pPr>
          </w:p>
        </w:tc>
        <w:tc>
          <w:tcPr>
            <w:tcW w:w="1375" w:type="dxa"/>
            <w:noWrap w:val="0"/>
            <w:vAlign w:val="center"/>
          </w:tcPr>
          <w:p>
            <w:pPr>
              <w:jc w:val="center"/>
              <w:rPr>
                <w:szCs w:val="21"/>
              </w:rPr>
            </w:pPr>
            <w:r>
              <w:rPr>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2" w:type="dxa"/>
            <w:noWrap w:val="0"/>
            <w:tcMar>
              <w:left w:w="0" w:type="dxa"/>
              <w:right w:w="0" w:type="dxa"/>
            </w:tcMar>
            <w:vAlign w:val="center"/>
          </w:tcPr>
          <w:p>
            <w:pPr>
              <w:jc w:val="center"/>
              <w:rPr>
                <w:szCs w:val="21"/>
              </w:rPr>
            </w:pPr>
            <w:r>
              <w:rPr>
                <w:szCs w:val="21"/>
              </w:rPr>
              <w:t>目标4</w:t>
            </w:r>
          </w:p>
        </w:tc>
        <w:tc>
          <w:tcPr>
            <w:tcW w:w="1868" w:type="dxa"/>
            <w:noWrap w:val="0"/>
            <w:tcMar>
              <w:left w:w="0" w:type="dxa"/>
              <w:right w:w="0" w:type="dxa"/>
            </w:tcMar>
            <w:vAlign w:val="center"/>
          </w:tcPr>
          <w:p>
            <w:pPr>
              <w:jc w:val="center"/>
              <w:rPr>
                <w:szCs w:val="21"/>
              </w:rPr>
            </w:pPr>
          </w:p>
        </w:tc>
        <w:tc>
          <w:tcPr>
            <w:tcW w:w="2013" w:type="dxa"/>
            <w:noWrap w:val="0"/>
            <w:tcMar>
              <w:left w:w="0" w:type="dxa"/>
              <w:right w:w="0" w:type="dxa"/>
            </w:tcMar>
            <w:vAlign w:val="center"/>
          </w:tcPr>
          <w:p>
            <w:pPr>
              <w:jc w:val="center"/>
              <w:rPr>
                <w:szCs w:val="21"/>
              </w:rPr>
            </w:pPr>
            <w:r>
              <w:rPr>
                <w:szCs w:val="21"/>
              </w:rPr>
              <w:t>评阅教师评分/10分</w:t>
            </w:r>
          </w:p>
        </w:tc>
        <w:tc>
          <w:tcPr>
            <w:tcW w:w="2156" w:type="dxa"/>
            <w:noWrap w:val="0"/>
            <w:tcMar>
              <w:left w:w="0" w:type="dxa"/>
              <w:right w:w="0" w:type="dxa"/>
            </w:tcMar>
            <w:vAlign w:val="center"/>
          </w:tcPr>
          <w:p>
            <w:pPr>
              <w:jc w:val="center"/>
              <w:rPr>
                <w:szCs w:val="21"/>
              </w:rPr>
            </w:pPr>
          </w:p>
        </w:tc>
        <w:tc>
          <w:tcPr>
            <w:tcW w:w="1375" w:type="dxa"/>
            <w:noWrap w:val="0"/>
            <w:vAlign w:val="center"/>
          </w:tcPr>
          <w:p>
            <w:pPr>
              <w:jc w:val="center"/>
              <w:rPr>
                <w:szCs w:val="21"/>
              </w:rPr>
            </w:pPr>
            <w:r>
              <w:rPr>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2" w:type="dxa"/>
            <w:noWrap w:val="0"/>
            <w:tcMar>
              <w:left w:w="0" w:type="dxa"/>
              <w:right w:w="0" w:type="dxa"/>
            </w:tcMar>
            <w:vAlign w:val="center"/>
          </w:tcPr>
          <w:p>
            <w:pPr>
              <w:jc w:val="center"/>
              <w:rPr>
                <w:szCs w:val="21"/>
              </w:rPr>
            </w:pPr>
            <w:r>
              <w:rPr>
                <w:szCs w:val="21"/>
              </w:rPr>
              <w:t>目标5</w:t>
            </w:r>
          </w:p>
        </w:tc>
        <w:tc>
          <w:tcPr>
            <w:tcW w:w="1868" w:type="dxa"/>
            <w:noWrap w:val="0"/>
            <w:tcMar>
              <w:left w:w="0" w:type="dxa"/>
              <w:right w:w="0" w:type="dxa"/>
            </w:tcMar>
            <w:vAlign w:val="center"/>
          </w:tcPr>
          <w:p>
            <w:pPr>
              <w:jc w:val="center"/>
              <w:rPr>
                <w:szCs w:val="21"/>
              </w:rPr>
            </w:pPr>
          </w:p>
        </w:tc>
        <w:tc>
          <w:tcPr>
            <w:tcW w:w="2013" w:type="dxa"/>
            <w:noWrap w:val="0"/>
            <w:tcMar>
              <w:left w:w="0" w:type="dxa"/>
              <w:right w:w="0" w:type="dxa"/>
            </w:tcMar>
            <w:vAlign w:val="center"/>
          </w:tcPr>
          <w:p>
            <w:pPr>
              <w:jc w:val="center"/>
              <w:rPr>
                <w:szCs w:val="21"/>
              </w:rPr>
            </w:pPr>
          </w:p>
        </w:tc>
        <w:tc>
          <w:tcPr>
            <w:tcW w:w="2156" w:type="dxa"/>
            <w:noWrap w:val="0"/>
            <w:tcMar>
              <w:left w:w="0" w:type="dxa"/>
              <w:right w:w="0" w:type="dxa"/>
            </w:tcMar>
            <w:vAlign w:val="center"/>
          </w:tcPr>
          <w:p>
            <w:pPr>
              <w:jc w:val="center"/>
              <w:rPr>
                <w:szCs w:val="21"/>
              </w:rPr>
            </w:pPr>
            <w:r>
              <w:rPr>
                <w:szCs w:val="21"/>
              </w:rPr>
              <w:t>答辩委员会评分/20分</w:t>
            </w:r>
          </w:p>
        </w:tc>
        <w:tc>
          <w:tcPr>
            <w:tcW w:w="1375" w:type="dxa"/>
            <w:noWrap w:val="0"/>
            <w:vAlign w:val="center"/>
          </w:tcPr>
          <w:p>
            <w:pPr>
              <w:jc w:val="center"/>
              <w:rPr>
                <w:szCs w:val="21"/>
              </w:rPr>
            </w:pPr>
            <w:r>
              <w:rPr>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2" w:type="dxa"/>
            <w:noWrap w:val="0"/>
            <w:tcMar>
              <w:left w:w="0" w:type="dxa"/>
              <w:right w:w="0" w:type="dxa"/>
            </w:tcMar>
            <w:vAlign w:val="center"/>
          </w:tcPr>
          <w:p>
            <w:pPr>
              <w:jc w:val="center"/>
              <w:rPr>
                <w:szCs w:val="21"/>
              </w:rPr>
            </w:pPr>
            <w:r>
              <w:rPr>
                <w:szCs w:val="21"/>
              </w:rPr>
              <w:t>目标6</w:t>
            </w:r>
          </w:p>
        </w:tc>
        <w:tc>
          <w:tcPr>
            <w:tcW w:w="1868" w:type="dxa"/>
            <w:noWrap w:val="0"/>
            <w:tcMar>
              <w:left w:w="0" w:type="dxa"/>
              <w:right w:w="0" w:type="dxa"/>
            </w:tcMar>
            <w:vAlign w:val="center"/>
          </w:tcPr>
          <w:p>
            <w:pPr>
              <w:jc w:val="center"/>
              <w:rPr>
                <w:szCs w:val="21"/>
              </w:rPr>
            </w:pPr>
            <w:r>
              <w:rPr>
                <w:szCs w:val="21"/>
              </w:rPr>
              <w:t>指导教师评分/5分</w:t>
            </w:r>
          </w:p>
        </w:tc>
        <w:tc>
          <w:tcPr>
            <w:tcW w:w="2013" w:type="dxa"/>
            <w:noWrap w:val="0"/>
            <w:tcMar>
              <w:left w:w="0" w:type="dxa"/>
              <w:right w:w="0" w:type="dxa"/>
            </w:tcMar>
            <w:vAlign w:val="center"/>
          </w:tcPr>
          <w:p>
            <w:pPr>
              <w:jc w:val="center"/>
              <w:rPr>
                <w:szCs w:val="21"/>
              </w:rPr>
            </w:pPr>
          </w:p>
        </w:tc>
        <w:tc>
          <w:tcPr>
            <w:tcW w:w="2156" w:type="dxa"/>
            <w:noWrap w:val="0"/>
            <w:tcMar>
              <w:left w:w="0" w:type="dxa"/>
              <w:right w:w="0" w:type="dxa"/>
            </w:tcMar>
            <w:vAlign w:val="center"/>
          </w:tcPr>
          <w:p>
            <w:pPr>
              <w:jc w:val="center"/>
              <w:rPr>
                <w:szCs w:val="21"/>
              </w:rPr>
            </w:pPr>
            <w:r>
              <w:rPr>
                <w:szCs w:val="21"/>
              </w:rPr>
              <w:t>答辩委员会评分/20分</w:t>
            </w:r>
          </w:p>
        </w:tc>
        <w:tc>
          <w:tcPr>
            <w:tcW w:w="1375" w:type="dxa"/>
            <w:noWrap w:val="0"/>
            <w:vAlign w:val="center"/>
          </w:tcPr>
          <w:p>
            <w:pPr>
              <w:jc w:val="center"/>
              <w:rPr>
                <w:szCs w:val="21"/>
              </w:rPr>
            </w:pPr>
            <w:r>
              <w:rPr>
                <w:szCs w:val="21"/>
              </w:rPr>
              <w:t>25</w:t>
            </w:r>
          </w:p>
        </w:tc>
      </w:tr>
    </w:tbl>
    <w:p>
      <w:pPr>
        <w:spacing w:line="360" w:lineRule="auto"/>
        <w:rPr>
          <w:rFonts w:eastAsia="等线"/>
          <w:b/>
          <w:bCs/>
          <w:sz w:val="24"/>
          <w:szCs w:val="24"/>
        </w:rPr>
      </w:pPr>
      <w:r>
        <w:rPr>
          <w:rFonts w:eastAsia="等线"/>
          <w:b/>
          <w:bCs/>
          <w:sz w:val="24"/>
          <w:szCs w:val="24"/>
        </w:rPr>
        <w:t>5. 课程目标达成评价结果</w:t>
      </w:r>
    </w:p>
    <w:p>
      <w:pPr>
        <w:spacing w:line="360" w:lineRule="auto"/>
        <w:ind w:firstLine="480" w:firstLineChars="200"/>
        <w:rPr>
          <w:sz w:val="24"/>
          <w:szCs w:val="24"/>
        </w:rPr>
      </w:pPr>
      <w:r>
        <w:rPr>
          <w:sz w:val="24"/>
          <w:szCs w:val="24"/>
        </w:rPr>
        <w:t>以土木工程专业2019级202名学生作为本次评价的样本，综合评价达成情况。课程考核成绩评价结果如下表所示：</w:t>
      </w:r>
    </w:p>
    <w:tbl>
      <w:tblPr>
        <w:tblStyle w:val="4"/>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701"/>
        <w:gridCol w:w="992"/>
        <w:gridCol w:w="1276"/>
        <w:gridCol w:w="1559"/>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276" w:type="dxa"/>
            <w:noWrap w:val="0"/>
            <w:vAlign w:val="center"/>
          </w:tcPr>
          <w:p>
            <w:pPr>
              <w:jc w:val="center"/>
              <w:rPr>
                <w:b/>
                <w:bCs/>
                <w:szCs w:val="21"/>
              </w:rPr>
            </w:pPr>
            <w:r>
              <w:rPr>
                <w:b/>
                <w:bCs/>
                <w:szCs w:val="21"/>
              </w:rPr>
              <w:t>课程目标</w:t>
            </w:r>
          </w:p>
        </w:tc>
        <w:tc>
          <w:tcPr>
            <w:tcW w:w="1701" w:type="dxa"/>
            <w:noWrap w:val="0"/>
            <w:vAlign w:val="center"/>
          </w:tcPr>
          <w:p>
            <w:pPr>
              <w:jc w:val="center"/>
              <w:rPr>
                <w:b/>
                <w:bCs/>
                <w:szCs w:val="21"/>
              </w:rPr>
            </w:pPr>
            <w:r>
              <w:rPr>
                <w:b/>
                <w:bCs/>
                <w:szCs w:val="21"/>
              </w:rPr>
              <w:t>评价环节</w:t>
            </w:r>
          </w:p>
        </w:tc>
        <w:tc>
          <w:tcPr>
            <w:tcW w:w="992" w:type="dxa"/>
            <w:noWrap w:val="0"/>
            <w:vAlign w:val="center"/>
          </w:tcPr>
          <w:p>
            <w:pPr>
              <w:jc w:val="center"/>
              <w:rPr>
                <w:b/>
                <w:bCs/>
                <w:szCs w:val="21"/>
              </w:rPr>
            </w:pPr>
            <w:r>
              <w:rPr>
                <w:b/>
                <w:bCs/>
                <w:szCs w:val="21"/>
              </w:rPr>
              <w:t>权重(%)</w:t>
            </w:r>
          </w:p>
        </w:tc>
        <w:tc>
          <w:tcPr>
            <w:tcW w:w="1276" w:type="dxa"/>
            <w:noWrap w:val="0"/>
            <w:vAlign w:val="center"/>
          </w:tcPr>
          <w:p>
            <w:pPr>
              <w:jc w:val="center"/>
              <w:rPr>
                <w:b/>
                <w:bCs/>
                <w:szCs w:val="21"/>
              </w:rPr>
            </w:pPr>
            <w:r>
              <w:rPr>
                <w:b/>
                <w:bCs/>
                <w:szCs w:val="21"/>
              </w:rPr>
              <w:t>目标分值</w:t>
            </w:r>
          </w:p>
        </w:tc>
        <w:tc>
          <w:tcPr>
            <w:tcW w:w="1559" w:type="dxa"/>
            <w:noWrap w:val="0"/>
            <w:vAlign w:val="center"/>
          </w:tcPr>
          <w:p>
            <w:pPr>
              <w:jc w:val="center"/>
              <w:rPr>
                <w:b/>
                <w:bCs/>
                <w:szCs w:val="21"/>
              </w:rPr>
            </w:pPr>
            <w:r>
              <w:rPr>
                <w:b/>
                <w:bCs/>
                <w:szCs w:val="21"/>
              </w:rPr>
              <w:t>实际平均分</w:t>
            </w:r>
          </w:p>
        </w:tc>
        <w:tc>
          <w:tcPr>
            <w:tcW w:w="1691" w:type="dxa"/>
            <w:noWrap w:val="0"/>
            <w:vAlign w:val="center"/>
          </w:tcPr>
          <w:p>
            <w:pPr>
              <w:jc w:val="center"/>
              <w:rPr>
                <w:b/>
                <w:bCs/>
                <w:szCs w:val="21"/>
              </w:rPr>
            </w:pPr>
            <w:r>
              <w:rPr>
                <w:b/>
                <w:bCs/>
                <w:szCs w:val="21"/>
              </w:rPr>
              <w:t>目标达成评价值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76" w:type="dxa"/>
            <w:noWrap w:val="0"/>
            <w:vAlign w:val="center"/>
          </w:tcPr>
          <w:p>
            <w:pPr>
              <w:jc w:val="center"/>
              <w:rPr>
                <w:szCs w:val="21"/>
              </w:rPr>
            </w:pPr>
            <w:r>
              <w:rPr>
                <w:szCs w:val="21"/>
              </w:rPr>
              <w:t>课程目标1</w:t>
            </w:r>
          </w:p>
        </w:tc>
        <w:tc>
          <w:tcPr>
            <w:tcW w:w="1701" w:type="dxa"/>
            <w:noWrap w:val="0"/>
            <w:vAlign w:val="center"/>
          </w:tcPr>
          <w:p>
            <w:pPr>
              <w:jc w:val="center"/>
              <w:rPr>
                <w:szCs w:val="21"/>
              </w:rPr>
            </w:pPr>
            <w:r>
              <w:rPr>
                <w:szCs w:val="21"/>
              </w:rPr>
              <w:t>指导教师评分</w:t>
            </w:r>
          </w:p>
        </w:tc>
        <w:tc>
          <w:tcPr>
            <w:tcW w:w="992" w:type="dxa"/>
            <w:noWrap w:val="0"/>
            <w:vAlign w:val="center"/>
          </w:tcPr>
          <w:p>
            <w:pPr>
              <w:jc w:val="center"/>
              <w:rPr>
                <w:szCs w:val="21"/>
              </w:rPr>
            </w:pPr>
            <w:r>
              <w:rPr>
                <w:szCs w:val="21"/>
              </w:rPr>
              <w:t>10%</w:t>
            </w:r>
          </w:p>
        </w:tc>
        <w:tc>
          <w:tcPr>
            <w:tcW w:w="1276" w:type="dxa"/>
            <w:noWrap w:val="0"/>
            <w:vAlign w:val="center"/>
          </w:tcPr>
          <w:p>
            <w:pPr>
              <w:jc w:val="center"/>
              <w:rPr>
                <w:szCs w:val="21"/>
              </w:rPr>
            </w:pPr>
            <w:r>
              <w:rPr>
                <w:szCs w:val="21"/>
              </w:rPr>
              <w:t>16</w:t>
            </w:r>
          </w:p>
        </w:tc>
        <w:tc>
          <w:tcPr>
            <w:tcW w:w="1559" w:type="dxa"/>
            <w:noWrap w:val="0"/>
            <w:vAlign w:val="center"/>
          </w:tcPr>
          <w:p>
            <w:pPr>
              <w:widowControl/>
              <w:jc w:val="center"/>
              <w:rPr>
                <w:szCs w:val="21"/>
              </w:rPr>
            </w:pPr>
            <w:r>
              <w:rPr>
                <w:szCs w:val="21"/>
              </w:rPr>
              <w:t>13.15</w:t>
            </w:r>
          </w:p>
        </w:tc>
        <w:tc>
          <w:tcPr>
            <w:tcW w:w="1691" w:type="dxa"/>
            <w:noWrap w:val="0"/>
            <w:vAlign w:val="center"/>
          </w:tcPr>
          <w:p>
            <w:pPr>
              <w:widowControl/>
              <w:jc w:val="center"/>
              <w:rPr>
                <w:szCs w:val="21"/>
              </w:rPr>
            </w:pPr>
            <w:r>
              <w:rPr>
                <w:szCs w:val="21"/>
              </w:rPr>
              <w:t>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76" w:type="dxa"/>
            <w:noWrap w:val="0"/>
            <w:vAlign w:val="center"/>
          </w:tcPr>
          <w:p>
            <w:pPr>
              <w:jc w:val="center"/>
              <w:rPr>
                <w:szCs w:val="21"/>
              </w:rPr>
            </w:pPr>
            <w:r>
              <w:rPr>
                <w:szCs w:val="21"/>
              </w:rPr>
              <w:t>课程目标2</w:t>
            </w:r>
          </w:p>
        </w:tc>
        <w:tc>
          <w:tcPr>
            <w:tcW w:w="1701" w:type="dxa"/>
            <w:noWrap w:val="0"/>
            <w:vAlign w:val="center"/>
          </w:tcPr>
          <w:p>
            <w:pPr>
              <w:jc w:val="center"/>
              <w:rPr>
                <w:szCs w:val="21"/>
              </w:rPr>
            </w:pPr>
            <w:r>
              <w:rPr>
                <w:szCs w:val="21"/>
              </w:rPr>
              <w:t>指导教师评分</w:t>
            </w:r>
          </w:p>
        </w:tc>
        <w:tc>
          <w:tcPr>
            <w:tcW w:w="992" w:type="dxa"/>
            <w:noWrap w:val="0"/>
            <w:vAlign w:val="center"/>
          </w:tcPr>
          <w:p>
            <w:pPr>
              <w:jc w:val="center"/>
              <w:rPr>
                <w:szCs w:val="21"/>
              </w:rPr>
            </w:pPr>
            <w:r>
              <w:rPr>
                <w:szCs w:val="21"/>
              </w:rPr>
              <w:t>15%</w:t>
            </w:r>
          </w:p>
        </w:tc>
        <w:tc>
          <w:tcPr>
            <w:tcW w:w="1276" w:type="dxa"/>
            <w:noWrap w:val="0"/>
            <w:vAlign w:val="center"/>
          </w:tcPr>
          <w:p>
            <w:pPr>
              <w:jc w:val="center"/>
              <w:rPr>
                <w:szCs w:val="21"/>
              </w:rPr>
            </w:pPr>
            <w:r>
              <w:rPr>
                <w:szCs w:val="21"/>
              </w:rPr>
              <w:t>17</w:t>
            </w:r>
          </w:p>
        </w:tc>
        <w:tc>
          <w:tcPr>
            <w:tcW w:w="1559" w:type="dxa"/>
            <w:noWrap w:val="0"/>
            <w:vAlign w:val="center"/>
          </w:tcPr>
          <w:p>
            <w:pPr>
              <w:widowControl/>
              <w:jc w:val="center"/>
              <w:rPr>
                <w:szCs w:val="21"/>
              </w:rPr>
            </w:pPr>
            <w:r>
              <w:rPr>
                <w:szCs w:val="21"/>
              </w:rPr>
              <w:t>13.84</w:t>
            </w:r>
          </w:p>
        </w:tc>
        <w:tc>
          <w:tcPr>
            <w:tcW w:w="1691" w:type="dxa"/>
            <w:noWrap w:val="0"/>
            <w:vAlign w:val="center"/>
          </w:tcPr>
          <w:p>
            <w:pPr>
              <w:widowControl/>
              <w:jc w:val="center"/>
              <w:rPr>
                <w:szCs w:val="21"/>
              </w:rPr>
            </w:pPr>
            <w:r>
              <w:rPr>
                <w:szCs w:val="21"/>
              </w:rPr>
              <w:t>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76" w:type="dxa"/>
            <w:noWrap w:val="0"/>
            <w:vAlign w:val="center"/>
          </w:tcPr>
          <w:p>
            <w:pPr>
              <w:jc w:val="center"/>
              <w:rPr>
                <w:szCs w:val="21"/>
              </w:rPr>
            </w:pPr>
            <w:r>
              <w:rPr>
                <w:szCs w:val="21"/>
              </w:rPr>
              <w:t>课程目标3</w:t>
            </w:r>
          </w:p>
        </w:tc>
        <w:tc>
          <w:tcPr>
            <w:tcW w:w="1701" w:type="dxa"/>
            <w:noWrap w:val="0"/>
            <w:vAlign w:val="center"/>
          </w:tcPr>
          <w:p>
            <w:pPr>
              <w:jc w:val="center"/>
              <w:rPr>
                <w:szCs w:val="21"/>
              </w:rPr>
            </w:pPr>
            <w:r>
              <w:rPr>
                <w:szCs w:val="21"/>
              </w:rPr>
              <w:t>评阅教师评分</w:t>
            </w:r>
          </w:p>
        </w:tc>
        <w:tc>
          <w:tcPr>
            <w:tcW w:w="992" w:type="dxa"/>
            <w:noWrap w:val="0"/>
            <w:vAlign w:val="center"/>
          </w:tcPr>
          <w:p>
            <w:pPr>
              <w:jc w:val="center"/>
              <w:rPr>
                <w:szCs w:val="21"/>
              </w:rPr>
            </w:pPr>
            <w:r>
              <w:rPr>
                <w:szCs w:val="21"/>
              </w:rPr>
              <w:t>20%</w:t>
            </w:r>
          </w:p>
        </w:tc>
        <w:tc>
          <w:tcPr>
            <w:tcW w:w="1276" w:type="dxa"/>
            <w:noWrap w:val="0"/>
            <w:vAlign w:val="center"/>
          </w:tcPr>
          <w:p>
            <w:pPr>
              <w:jc w:val="center"/>
              <w:rPr>
                <w:szCs w:val="21"/>
              </w:rPr>
            </w:pPr>
            <w:r>
              <w:rPr>
                <w:szCs w:val="21"/>
              </w:rPr>
              <w:t>15.5</w:t>
            </w:r>
          </w:p>
        </w:tc>
        <w:tc>
          <w:tcPr>
            <w:tcW w:w="1559" w:type="dxa"/>
            <w:noWrap w:val="0"/>
            <w:vAlign w:val="center"/>
          </w:tcPr>
          <w:p>
            <w:pPr>
              <w:widowControl/>
              <w:jc w:val="center"/>
              <w:rPr>
                <w:szCs w:val="21"/>
              </w:rPr>
            </w:pPr>
            <w:r>
              <w:rPr>
                <w:szCs w:val="21"/>
              </w:rPr>
              <w:t>12.27</w:t>
            </w:r>
          </w:p>
        </w:tc>
        <w:tc>
          <w:tcPr>
            <w:tcW w:w="1691" w:type="dxa"/>
            <w:noWrap w:val="0"/>
            <w:vAlign w:val="center"/>
          </w:tcPr>
          <w:p>
            <w:pPr>
              <w:widowControl/>
              <w:jc w:val="center"/>
              <w:rPr>
                <w:szCs w:val="21"/>
              </w:rPr>
            </w:pPr>
            <w:r>
              <w:rPr>
                <w:szCs w:val="21"/>
              </w:rPr>
              <w:t>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76" w:type="dxa"/>
            <w:noWrap w:val="0"/>
            <w:vAlign w:val="center"/>
          </w:tcPr>
          <w:p>
            <w:pPr>
              <w:jc w:val="center"/>
              <w:rPr>
                <w:szCs w:val="21"/>
              </w:rPr>
            </w:pPr>
            <w:r>
              <w:rPr>
                <w:szCs w:val="21"/>
              </w:rPr>
              <w:t>课程目标4</w:t>
            </w:r>
          </w:p>
        </w:tc>
        <w:tc>
          <w:tcPr>
            <w:tcW w:w="1701" w:type="dxa"/>
            <w:noWrap w:val="0"/>
            <w:vAlign w:val="center"/>
          </w:tcPr>
          <w:p>
            <w:pPr>
              <w:jc w:val="center"/>
              <w:rPr>
                <w:szCs w:val="21"/>
              </w:rPr>
            </w:pPr>
            <w:r>
              <w:rPr>
                <w:szCs w:val="21"/>
              </w:rPr>
              <w:t>评阅教师评分</w:t>
            </w:r>
          </w:p>
        </w:tc>
        <w:tc>
          <w:tcPr>
            <w:tcW w:w="992" w:type="dxa"/>
            <w:noWrap w:val="0"/>
            <w:vAlign w:val="center"/>
          </w:tcPr>
          <w:p>
            <w:pPr>
              <w:jc w:val="center"/>
              <w:rPr>
                <w:szCs w:val="21"/>
              </w:rPr>
            </w:pPr>
            <w:r>
              <w:rPr>
                <w:szCs w:val="21"/>
              </w:rPr>
              <w:t>10%</w:t>
            </w:r>
          </w:p>
        </w:tc>
        <w:tc>
          <w:tcPr>
            <w:tcW w:w="1276" w:type="dxa"/>
            <w:noWrap w:val="0"/>
            <w:vAlign w:val="center"/>
          </w:tcPr>
          <w:p>
            <w:pPr>
              <w:jc w:val="center"/>
              <w:rPr>
                <w:szCs w:val="21"/>
              </w:rPr>
            </w:pPr>
            <w:r>
              <w:rPr>
                <w:szCs w:val="21"/>
              </w:rPr>
              <w:t>20</w:t>
            </w:r>
          </w:p>
        </w:tc>
        <w:tc>
          <w:tcPr>
            <w:tcW w:w="1559" w:type="dxa"/>
            <w:noWrap w:val="0"/>
            <w:vAlign w:val="center"/>
          </w:tcPr>
          <w:p>
            <w:pPr>
              <w:widowControl/>
              <w:jc w:val="center"/>
              <w:rPr>
                <w:szCs w:val="21"/>
              </w:rPr>
            </w:pPr>
            <w:r>
              <w:rPr>
                <w:szCs w:val="21"/>
              </w:rPr>
              <w:t>16.23</w:t>
            </w:r>
          </w:p>
        </w:tc>
        <w:tc>
          <w:tcPr>
            <w:tcW w:w="1691" w:type="dxa"/>
            <w:noWrap w:val="0"/>
            <w:vAlign w:val="center"/>
          </w:tcPr>
          <w:p>
            <w:pPr>
              <w:widowControl/>
              <w:jc w:val="center"/>
              <w:rPr>
                <w:szCs w:val="21"/>
              </w:rPr>
            </w:pPr>
            <w:r>
              <w:rPr>
                <w:szCs w:val="21"/>
              </w:rPr>
              <w:t>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76" w:type="dxa"/>
            <w:noWrap w:val="0"/>
            <w:vAlign w:val="center"/>
          </w:tcPr>
          <w:p>
            <w:pPr>
              <w:jc w:val="center"/>
              <w:rPr>
                <w:szCs w:val="21"/>
              </w:rPr>
            </w:pPr>
            <w:r>
              <w:rPr>
                <w:szCs w:val="21"/>
              </w:rPr>
              <w:t>课程目标5</w:t>
            </w:r>
          </w:p>
        </w:tc>
        <w:tc>
          <w:tcPr>
            <w:tcW w:w="1701" w:type="dxa"/>
            <w:noWrap w:val="0"/>
            <w:vAlign w:val="center"/>
          </w:tcPr>
          <w:p>
            <w:pPr>
              <w:jc w:val="center"/>
              <w:rPr>
                <w:szCs w:val="21"/>
              </w:rPr>
            </w:pPr>
            <w:r>
              <w:rPr>
                <w:szCs w:val="21"/>
              </w:rPr>
              <w:t>答辩委员会评分</w:t>
            </w:r>
          </w:p>
        </w:tc>
        <w:tc>
          <w:tcPr>
            <w:tcW w:w="992" w:type="dxa"/>
            <w:noWrap w:val="0"/>
            <w:vAlign w:val="center"/>
          </w:tcPr>
          <w:p>
            <w:pPr>
              <w:jc w:val="center"/>
              <w:rPr>
                <w:szCs w:val="21"/>
              </w:rPr>
            </w:pPr>
            <w:r>
              <w:rPr>
                <w:szCs w:val="21"/>
              </w:rPr>
              <w:t>20%</w:t>
            </w:r>
          </w:p>
        </w:tc>
        <w:tc>
          <w:tcPr>
            <w:tcW w:w="1276" w:type="dxa"/>
            <w:noWrap w:val="0"/>
            <w:vAlign w:val="center"/>
          </w:tcPr>
          <w:p>
            <w:pPr>
              <w:jc w:val="center"/>
              <w:rPr>
                <w:szCs w:val="21"/>
              </w:rPr>
            </w:pPr>
            <w:r>
              <w:rPr>
                <w:szCs w:val="21"/>
              </w:rPr>
              <w:t>18.5</w:t>
            </w:r>
          </w:p>
        </w:tc>
        <w:tc>
          <w:tcPr>
            <w:tcW w:w="1559" w:type="dxa"/>
            <w:noWrap w:val="0"/>
            <w:vAlign w:val="center"/>
          </w:tcPr>
          <w:p>
            <w:pPr>
              <w:widowControl/>
              <w:jc w:val="center"/>
              <w:rPr>
                <w:szCs w:val="21"/>
              </w:rPr>
            </w:pPr>
            <w:r>
              <w:rPr>
                <w:szCs w:val="21"/>
              </w:rPr>
              <w:t>14.66</w:t>
            </w:r>
          </w:p>
        </w:tc>
        <w:tc>
          <w:tcPr>
            <w:tcW w:w="1691" w:type="dxa"/>
            <w:noWrap w:val="0"/>
            <w:vAlign w:val="center"/>
          </w:tcPr>
          <w:p>
            <w:pPr>
              <w:widowControl/>
              <w:jc w:val="center"/>
              <w:rPr>
                <w:szCs w:val="21"/>
              </w:rPr>
            </w:pPr>
            <w:r>
              <w:rPr>
                <w:szCs w:val="21"/>
              </w:rPr>
              <w:t>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76" w:type="dxa"/>
            <w:noWrap w:val="0"/>
            <w:vAlign w:val="center"/>
          </w:tcPr>
          <w:p>
            <w:pPr>
              <w:jc w:val="center"/>
              <w:rPr>
                <w:szCs w:val="21"/>
              </w:rPr>
            </w:pPr>
            <w:r>
              <w:rPr>
                <w:szCs w:val="21"/>
              </w:rPr>
              <w:t>课程目标6</w:t>
            </w:r>
          </w:p>
        </w:tc>
        <w:tc>
          <w:tcPr>
            <w:tcW w:w="1701" w:type="dxa"/>
            <w:noWrap w:val="0"/>
            <w:vAlign w:val="center"/>
          </w:tcPr>
          <w:p>
            <w:pPr>
              <w:jc w:val="center"/>
              <w:rPr>
                <w:szCs w:val="21"/>
              </w:rPr>
            </w:pPr>
            <w:r>
              <w:rPr>
                <w:szCs w:val="21"/>
              </w:rPr>
              <w:t>答辩委员会评分</w:t>
            </w:r>
          </w:p>
        </w:tc>
        <w:tc>
          <w:tcPr>
            <w:tcW w:w="992" w:type="dxa"/>
            <w:noWrap w:val="0"/>
            <w:vAlign w:val="center"/>
          </w:tcPr>
          <w:p>
            <w:pPr>
              <w:jc w:val="center"/>
              <w:rPr>
                <w:szCs w:val="21"/>
              </w:rPr>
            </w:pPr>
            <w:r>
              <w:rPr>
                <w:szCs w:val="21"/>
              </w:rPr>
              <w:t>25%</w:t>
            </w:r>
          </w:p>
        </w:tc>
        <w:tc>
          <w:tcPr>
            <w:tcW w:w="1276" w:type="dxa"/>
            <w:noWrap w:val="0"/>
            <w:vAlign w:val="center"/>
          </w:tcPr>
          <w:p>
            <w:pPr>
              <w:jc w:val="center"/>
              <w:rPr>
                <w:szCs w:val="21"/>
              </w:rPr>
            </w:pPr>
            <w:r>
              <w:rPr>
                <w:szCs w:val="21"/>
              </w:rPr>
              <w:t>13</w:t>
            </w:r>
          </w:p>
        </w:tc>
        <w:tc>
          <w:tcPr>
            <w:tcW w:w="1559" w:type="dxa"/>
            <w:noWrap w:val="0"/>
            <w:vAlign w:val="center"/>
          </w:tcPr>
          <w:p>
            <w:pPr>
              <w:widowControl/>
              <w:jc w:val="center"/>
              <w:rPr>
                <w:szCs w:val="21"/>
              </w:rPr>
            </w:pPr>
            <w:r>
              <w:rPr>
                <w:szCs w:val="21"/>
              </w:rPr>
              <w:t>10.58</w:t>
            </w:r>
          </w:p>
        </w:tc>
        <w:tc>
          <w:tcPr>
            <w:tcW w:w="1691" w:type="dxa"/>
            <w:noWrap w:val="0"/>
            <w:vAlign w:val="center"/>
          </w:tcPr>
          <w:p>
            <w:pPr>
              <w:jc w:val="center"/>
              <w:rPr>
                <w:szCs w:val="21"/>
              </w:rPr>
            </w:pPr>
            <w:r>
              <w:rPr>
                <w:szCs w:val="21"/>
              </w:rPr>
              <w:t>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76" w:type="dxa"/>
            <w:noWrap w:val="0"/>
            <w:vAlign w:val="center"/>
          </w:tcPr>
          <w:p>
            <w:pPr>
              <w:jc w:val="center"/>
              <w:rPr>
                <w:szCs w:val="21"/>
              </w:rPr>
            </w:pPr>
            <w:r>
              <w:rPr>
                <w:szCs w:val="21"/>
              </w:rPr>
              <w:t>整体目标</w:t>
            </w:r>
          </w:p>
        </w:tc>
        <w:tc>
          <w:tcPr>
            <w:tcW w:w="1701" w:type="dxa"/>
            <w:noWrap w:val="0"/>
            <w:vAlign w:val="center"/>
          </w:tcPr>
          <w:p>
            <w:pPr>
              <w:jc w:val="center"/>
              <w:rPr>
                <w:szCs w:val="21"/>
              </w:rPr>
            </w:pPr>
            <w:r>
              <w:rPr>
                <w:szCs w:val="21"/>
              </w:rPr>
              <w:t>总评</w:t>
            </w:r>
          </w:p>
        </w:tc>
        <w:tc>
          <w:tcPr>
            <w:tcW w:w="992" w:type="dxa"/>
            <w:noWrap w:val="0"/>
            <w:vAlign w:val="center"/>
          </w:tcPr>
          <w:p>
            <w:pPr>
              <w:jc w:val="center"/>
              <w:rPr>
                <w:szCs w:val="21"/>
              </w:rPr>
            </w:pPr>
            <w:r>
              <w:rPr>
                <w:szCs w:val="21"/>
              </w:rPr>
              <w:t>100%</w:t>
            </w:r>
          </w:p>
        </w:tc>
        <w:tc>
          <w:tcPr>
            <w:tcW w:w="1276" w:type="dxa"/>
            <w:noWrap w:val="0"/>
            <w:vAlign w:val="center"/>
          </w:tcPr>
          <w:p>
            <w:pPr>
              <w:jc w:val="center"/>
              <w:rPr>
                <w:szCs w:val="21"/>
              </w:rPr>
            </w:pPr>
            <w:r>
              <w:rPr>
                <w:szCs w:val="21"/>
              </w:rPr>
              <w:t>100</w:t>
            </w:r>
          </w:p>
        </w:tc>
        <w:tc>
          <w:tcPr>
            <w:tcW w:w="1559" w:type="dxa"/>
            <w:noWrap w:val="0"/>
            <w:vAlign w:val="center"/>
          </w:tcPr>
          <w:p>
            <w:pPr>
              <w:widowControl/>
              <w:jc w:val="center"/>
              <w:rPr>
                <w:szCs w:val="21"/>
              </w:rPr>
            </w:pPr>
            <w:r>
              <w:rPr>
                <w:rFonts w:eastAsia="等线"/>
                <w:szCs w:val="21"/>
              </w:rPr>
              <w:t>80.72</w:t>
            </w:r>
          </w:p>
        </w:tc>
        <w:tc>
          <w:tcPr>
            <w:tcW w:w="1691" w:type="dxa"/>
            <w:noWrap w:val="0"/>
            <w:vAlign w:val="center"/>
          </w:tcPr>
          <w:p>
            <w:pPr>
              <w:jc w:val="center"/>
              <w:rPr>
                <w:szCs w:val="21"/>
              </w:rPr>
            </w:pPr>
            <w:r>
              <w:rPr>
                <w:rFonts w:eastAsia="等线"/>
                <w:szCs w:val="21"/>
              </w:rPr>
              <w:t>0.806</w:t>
            </w:r>
          </w:p>
        </w:tc>
      </w:tr>
    </w:tbl>
    <w:p>
      <w:pPr>
        <w:spacing w:before="156" w:beforeLines="50"/>
        <w:rPr>
          <w:rFonts w:eastAsia="等线"/>
          <w:b/>
          <w:bCs/>
          <w:sz w:val="24"/>
          <w:szCs w:val="24"/>
        </w:rPr>
      </w:pPr>
      <w:r>
        <w:rPr>
          <w:rFonts w:eastAsia="等线"/>
          <w:b/>
          <w:bCs/>
          <w:sz w:val="24"/>
          <w:szCs w:val="24"/>
        </w:rPr>
        <w:t>6. 课程总结与改进措施</w:t>
      </w:r>
    </w:p>
    <w:p>
      <w:pPr>
        <w:spacing w:line="360" w:lineRule="auto"/>
        <w:ind w:firstLine="480" w:firstLineChars="200"/>
        <w:rPr>
          <w:sz w:val="24"/>
          <w:szCs w:val="24"/>
        </w:rPr>
        <w:sectPr>
          <w:pgSz w:w="11906" w:h="16838"/>
          <w:pgMar w:top="1440" w:right="1700" w:bottom="1276" w:left="1800" w:header="851" w:footer="992" w:gutter="0"/>
          <w:cols w:space="720" w:num="1"/>
          <w:docGrid w:type="lines" w:linePitch="312" w:charSpace="0"/>
        </w:sectPr>
      </w:pPr>
      <w:r>
        <w:rPr>
          <w:sz w:val="24"/>
          <w:szCs w:val="24"/>
        </w:rPr>
        <w:t>通过对学生成绩进行分析，本课程的整体课程目标达成评价值为0.806，整体课程达成度符合预期。</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6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5000" w:type="pct"/>
            <w:gridSpan w:val="2"/>
            <w:noWrap w:val="0"/>
            <w:vAlign w:val="center"/>
          </w:tcPr>
          <w:p>
            <w:pPr>
              <w:jc w:val="center"/>
              <w:rPr>
                <w:szCs w:val="21"/>
              </w:rPr>
            </w:pPr>
            <w:r>
              <w:rPr>
                <w:szCs w:val="21"/>
              </w:rPr>
              <w:t>（2022-2023 学年第2学期）</w:t>
            </w:r>
          </w:p>
          <w:p>
            <w:pPr>
              <w:jc w:val="center"/>
              <w:rPr>
                <w:szCs w:val="21"/>
              </w:rPr>
            </w:pPr>
            <w:r>
              <w:rPr>
                <w:szCs w:val="21"/>
              </w:rPr>
              <w:t>专业：</w:t>
            </w:r>
            <w:r>
              <w:rPr>
                <w:szCs w:val="21"/>
                <w:u w:val="single"/>
              </w:rPr>
              <w:t>土木工程</w:t>
            </w:r>
            <w:r>
              <w:rPr>
                <w:szCs w:val="21"/>
              </w:rPr>
              <w:t xml:space="preserve">  课程：</w:t>
            </w:r>
            <w:r>
              <w:rPr>
                <w:szCs w:val="21"/>
                <w:u w:val="single"/>
              </w:rPr>
              <w:t>毕业设计（论文）</w:t>
            </w:r>
            <w:r>
              <w:rPr>
                <w:szCs w:val="21"/>
              </w:rPr>
              <w:t xml:space="preserve">  班级：</w:t>
            </w:r>
            <w:r>
              <w:rPr>
                <w:szCs w:val="21"/>
                <w:u w:val="single"/>
              </w:rPr>
              <w:t>1</w:t>
            </w:r>
            <w:r>
              <w:rPr>
                <w:b/>
                <w:szCs w:val="21"/>
                <w:u w:val="single"/>
              </w:rPr>
              <w:t>9</w:t>
            </w:r>
            <w:r>
              <w:rPr>
                <w:szCs w:val="21"/>
                <w:u w:val="single"/>
              </w:rPr>
              <w:t>土木全体学生</w:t>
            </w:r>
            <w:r>
              <w:rPr>
                <w:szCs w:val="21"/>
              </w:rPr>
              <w:t xml:space="preserve"> 人数：</w:t>
            </w:r>
            <w:r>
              <w:rPr>
                <w:szCs w:val="21"/>
                <w:u w:val="single"/>
              </w:rPr>
              <w:t>202人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44" w:type="pct"/>
            <w:noWrap w:val="0"/>
            <w:vAlign w:val="center"/>
          </w:tcPr>
          <w:p>
            <w:pPr>
              <w:widowControl/>
              <w:jc w:val="center"/>
              <w:textAlignment w:val="center"/>
              <w:rPr>
                <w:b/>
                <w:bCs/>
                <w:szCs w:val="21"/>
              </w:rPr>
            </w:pPr>
            <w:r>
              <w:rPr>
                <w:b/>
                <w:bCs/>
                <w:kern w:val="0"/>
                <w:szCs w:val="21"/>
                <w:lang w:bidi="ar"/>
              </w:rPr>
              <w:t>项目</w:t>
            </w:r>
          </w:p>
        </w:tc>
        <w:tc>
          <w:tcPr>
            <w:tcW w:w="4056" w:type="pct"/>
            <w:noWrap w:val="0"/>
            <w:vAlign w:val="center"/>
          </w:tcPr>
          <w:p>
            <w:pPr>
              <w:widowControl/>
              <w:jc w:val="center"/>
              <w:textAlignment w:val="center"/>
              <w:rPr>
                <w:b/>
                <w:bCs/>
                <w:szCs w:val="21"/>
              </w:rPr>
            </w:pPr>
            <w:r>
              <w:rPr>
                <w:b/>
                <w:bCs/>
                <w:kern w:val="0"/>
                <w:szCs w:val="21"/>
                <w:lang w:bidi="ar"/>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44" w:type="pct"/>
            <w:noWrap w:val="0"/>
            <w:vAlign w:val="center"/>
          </w:tcPr>
          <w:p>
            <w:pPr>
              <w:widowControl/>
              <w:jc w:val="center"/>
              <w:textAlignment w:val="center"/>
              <w:rPr>
                <w:b/>
                <w:bCs/>
                <w:szCs w:val="21"/>
              </w:rPr>
            </w:pPr>
            <w:r>
              <w:rPr>
                <w:b/>
                <w:bCs/>
                <w:kern w:val="0"/>
                <w:szCs w:val="21"/>
                <w:lang w:bidi="ar"/>
              </w:rPr>
              <w:t>总体评价</w:t>
            </w:r>
          </w:p>
        </w:tc>
        <w:tc>
          <w:tcPr>
            <w:tcW w:w="4056" w:type="pct"/>
            <w:noWrap w:val="0"/>
            <w:vAlign w:val="center"/>
          </w:tcPr>
          <w:p>
            <w:pPr>
              <w:tabs>
                <w:tab w:val="left" w:pos="972"/>
                <w:tab w:val="left" w:pos="4992"/>
                <w:tab w:val="left" w:pos="5244"/>
              </w:tabs>
              <w:jc w:val="center"/>
              <w:rPr>
                <w:szCs w:val="21"/>
              </w:rPr>
            </w:pPr>
            <w:r>
              <w:rPr>
                <w:szCs w:val="21"/>
              </w:rPr>
              <w:drawing>
                <wp:inline distT="0" distB="0" distL="114300" distR="114300">
                  <wp:extent cx="3696970" cy="2303780"/>
                  <wp:effectExtent l="0" t="0" r="17780" b="127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4"/>
                          <a:stretch>
                            <a:fillRect/>
                          </a:stretch>
                        </pic:blipFill>
                        <pic:spPr>
                          <a:xfrm>
                            <a:off x="0" y="0"/>
                            <a:ext cx="3696970" cy="2303780"/>
                          </a:xfrm>
                          <a:prstGeom prst="rect">
                            <a:avLst/>
                          </a:prstGeom>
                          <a:noFill/>
                          <a:ln>
                            <a:noFill/>
                          </a:ln>
                        </pic:spPr>
                      </pic:pic>
                    </a:graphicData>
                  </a:graphic>
                </wp:inline>
              </w:drawing>
            </w:r>
          </w:p>
          <w:p>
            <w:pPr>
              <w:jc w:val="center"/>
              <w:rPr>
                <w:rFonts w:eastAsia="等线"/>
                <w:szCs w:val="22"/>
              </w:rPr>
            </w:pPr>
            <w:r>
              <w:rPr>
                <w:rFonts w:eastAsia="等线"/>
                <w:szCs w:val="22"/>
              </w:rPr>
              <w:drawing>
                <wp:inline distT="0" distB="0" distL="114300" distR="114300">
                  <wp:extent cx="4175760" cy="4007485"/>
                  <wp:effectExtent l="0" t="0" r="15240" b="1206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5"/>
                          <a:stretch>
                            <a:fillRect/>
                          </a:stretch>
                        </pic:blipFill>
                        <pic:spPr>
                          <a:xfrm>
                            <a:off x="0" y="0"/>
                            <a:ext cx="4175760" cy="4007485"/>
                          </a:xfrm>
                          <a:prstGeom prst="rect">
                            <a:avLst/>
                          </a:prstGeom>
                          <a:noFill/>
                          <a:ln>
                            <a:noFill/>
                          </a:ln>
                        </pic:spPr>
                      </pic:pic>
                    </a:graphicData>
                  </a:graphic>
                </wp:inline>
              </w:drawing>
            </w:r>
          </w:p>
          <w:p>
            <w:pPr>
              <w:widowControl/>
              <w:jc w:val="left"/>
              <w:rPr>
                <w:rFonts w:hint="eastAsia"/>
                <w:bCs/>
                <w:kern w:val="0"/>
                <w:szCs w:val="21"/>
              </w:rPr>
            </w:pPr>
          </w:p>
          <w:p>
            <w:pPr>
              <w:widowControl/>
              <w:jc w:val="left"/>
              <w:rPr>
                <w:bCs/>
                <w:kern w:val="0"/>
                <w:szCs w:val="21"/>
              </w:rPr>
            </w:pPr>
            <w:r>
              <w:rPr>
                <w:rFonts w:hint="eastAsia"/>
                <w:bCs/>
                <w:kern w:val="0"/>
                <w:szCs w:val="21"/>
              </w:rPr>
              <w:t>1）毕业设计（论文）A</w:t>
            </w:r>
            <w:r>
              <w:rPr>
                <w:bCs/>
                <w:kern w:val="0"/>
                <w:szCs w:val="21"/>
              </w:rPr>
              <w:t>课程目标达成评价值为：0.</w:t>
            </w:r>
            <w:r>
              <w:rPr>
                <w:rFonts w:hint="eastAsia"/>
                <w:bCs/>
                <w:kern w:val="0"/>
                <w:szCs w:val="21"/>
              </w:rPr>
              <w:t>806</w:t>
            </w:r>
          </w:p>
          <w:p>
            <w:pPr>
              <w:adjustRightInd w:val="0"/>
              <w:snapToGrid w:val="0"/>
              <w:spacing w:before="156" w:beforeLines="50" w:line="360" w:lineRule="auto"/>
              <w:rPr>
                <w:bCs/>
                <w:kern w:val="0"/>
                <w:sz w:val="24"/>
                <w:szCs w:val="24"/>
              </w:rPr>
            </w:pPr>
            <w:r>
              <w:rPr>
                <w:rFonts w:hint="eastAsia"/>
                <w:bCs/>
                <w:kern w:val="0"/>
                <w:szCs w:val="21"/>
              </w:rPr>
              <w:t>2）</w:t>
            </w:r>
            <w:r>
              <w:rPr>
                <w:bCs/>
                <w:kern w:val="0"/>
                <w:szCs w:val="21"/>
              </w:rPr>
              <w:t>课程目标1达成评价值为0.82，课程目标2达成评价值为0.81，课程目标3达成评价值为0.79，课程目标4达成评价值为0.81，课程目标5达成评价值为0.79，课程目标6达成评价值为0.81，均大于课程目标期望值0.6</w:t>
            </w:r>
            <w:r>
              <w:rPr>
                <w:rFonts w:hint="eastAsia"/>
                <w:bCs/>
                <w:kern w:val="0"/>
                <w:szCs w:val="21"/>
              </w:rPr>
              <w:t>8</w:t>
            </w:r>
            <w:r>
              <w:rPr>
                <w:bCs/>
                <w:kern w:val="0"/>
                <w:szCs w:val="21"/>
              </w:rPr>
              <w:t>。本课程7个目标达成评价值反映了2019级土木工程专业学生已具备结构分析与初步设计的能力，对相关设计规范等有全面系统的了解，并能运用相关规范和资料综合解决毕业设计问题。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944" w:type="pct"/>
            <w:noWrap w:val="0"/>
            <w:vAlign w:val="center"/>
          </w:tcPr>
          <w:p>
            <w:pPr>
              <w:widowControl/>
              <w:jc w:val="center"/>
              <w:textAlignment w:val="center"/>
              <w:rPr>
                <w:b/>
                <w:bCs/>
                <w:szCs w:val="21"/>
              </w:rPr>
            </w:pPr>
            <w:r>
              <w:rPr>
                <w:b/>
                <w:bCs/>
                <w:kern w:val="0"/>
                <w:szCs w:val="21"/>
                <w:lang w:bidi="ar"/>
              </w:rPr>
              <w:t>经验总结</w:t>
            </w:r>
          </w:p>
        </w:tc>
        <w:tc>
          <w:tcPr>
            <w:tcW w:w="4056" w:type="pct"/>
            <w:noWrap w:val="0"/>
            <w:vAlign w:val="center"/>
          </w:tcPr>
          <w:p>
            <w:pPr>
              <w:numPr>
                <w:ilvl w:val="0"/>
                <w:numId w:val="1"/>
              </w:numPr>
              <w:spacing w:line="400" w:lineRule="exact"/>
              <w:rPr>
                <w:rFonts w:hint="eastAsia"/>
                <w:bCs/>
                <w:kern w:val="0"/>
                <w:szCs w:val="21"/>
              </w:rPr>
            </w:pPr>
            <w:r>
              <w:rPr>
                <w:rFonts w:hint="eastAsia"/>
                <w:bCs/>
                <w:kern w:val="0"/>
                <w:szCs w:val="21"/>
              </w:rPr>
              <w:t>在目标1达成评价值中体现了指导老师在实现本设计达成的发挥的积极作用。</w:t>
            </w:r>
          </w:p>
          <w:p>
            <w:pPr>
              <w:numPr>
                <w:ilvl w:val="0"/>
                <w:numId w:val="1"/>
              </w:numPr>
              <w:spacing w:line="400" w:lineRule="exact"/>
              <w:rPr>
                <w:bCs/>
                <w:kern w:val="0"/>
                <w:szCs w:val="21"/>
              </w:rPr>
            </w:pPr>
            <w:r>
              <w:rPr>
                <w:rFonts w:hint="eastAsia"/>
                <w:bCs/>
                <w:kern w:val="0"/>
                <w:szCs w:val="21"/>
              </w:rPr>
              <w:t>通过指导老师带领学生深入企业以及企业导师联合指导，能提高学生毕业设计的兴趣；通过兴趣培养学生文献查阅、分析、综述的能力，并积极鼓励独立提出可行的方案，培养学生科学严谨的学习态度和认真负责的职业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944" w:type="pct"/>
            <w:noWrap w:val="0"/>
            <w:vAlign w:val="center"/>
          </w:tcPr>
          <w:p>
            <w:pPr>
              <w:widowControl/>
              <w:jc w:val="center"/>
              <w:textAlignment w:val="center"/>
              <w:rPr>
                <w:b/>
                <w:bCs/>
                <w:szCs w:val="21"/>
              </w:rPr>
            </w:pPr>
            <w:r>
              <w:rPr>
                <w:b/>
                <w:bCs/>
                <w:kern w:val="0"/>
                <w:szCs w:val="21"/>
                <w:lang w:bidi="ar"/>
              </w:rPr>
              <w:t>问题分析</w:t>
            </w:r>
          </w:p>
        </w:tc>
        <w:tc>
          <w:tcPr>
            <w:tcW w:w="4056" w:type="pct"/>
            <w:noWrap w:val="0"/>
            <w:vAlign w:val="center"/>
          </w:tcPr>
          <w:p>
            <w:pPr>
              <w:spacing w:line="400" w:lineRule="exact"/>
              <w:rPr>
                <w:bCs/>
                <w:kern w:val="0"/>
                <w:szCs w:val="21"/>
              </w:rPr>
            </w:pPr>
            <w:r>
              <w:rPr>
                <w:rFonts w:hint="eastAsia" w:ascii="宋体" w:hAnsi="宋体"/>
                <w:bCs/>
                <w:kern w:val="0"/>
              </w:rPr>
              <w:t>从达成情况分析结果可知，课程目标</w:t>
            </w:r>
            <w:r>
              <w:rPr>
                <w:rFonts w:hint="eastAsia"/>
                <w:bCs/>
                <w:kern w:val="0"/>
              </w:rPr>
              <w:t>CO3</w:t>
            </w:r>
            <w:r>
              <w:rPr>
                <w:rFonts w:hint="eastAsia" w:ascii="宋体" w:hAnsi="宋体"/>
                <w:bCs/>
                <w:kern w:val="0"/>
              </w:rPr>
              <w:t>和</w:t>
            </w:r>
            <w:r>
              <w:rPr>
                <w:rFonts w:hint="eastAsia"/>
                <w:bCs/>
                <w:kern w:val="0"/>
              </w:rPr>
              <w:t>CO5</w:t>
            </w:r>
            <w:r>
              <w:rPr>
                <w:rFonts w:hint="eastAsia" w:ascii="宋体" w:hAnsi="宋体"/>
                <w:bCs/>
                <w:kern w:val="0"/>
              </w:rPr>
              <w:t>达成值相对较低，说明学生熟练运用本专业所必须的基础理论和基本专业知识，分析问题、解决问题的能力还相对欠缺，以及把现有的成果良好地进行表达的能力还有待加强。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44" w:type="pct"/>
            <w:noWrap w:val="0"/>
            <w:vAlign w:val="center"/>
          </w:tcPr>
          <w:p>
            <w:pPr>
              <w:widowControl/>
              <w:jc w:val="center"/>
              <w:textAlignment w:val="center"/>
              <w:rPr>
                <w:b/>
                <w:bCs/>
                <w:kern w:val="0"/>
                <w:szCs w:val="21"/>
                <w:lang w:bidi="ar"/>
              </w:rPr>
            </w:pPr>
            <w:r>
              <w:rPr>
                <w:b/>
                <w:bCs/>
                <w:kern w:val="0"/>
                <w:szCs w:val="21"/>
                <w:lang w:bidi="ar"/>
              </w:rPr>
              <w:t>持续改进措施</w:t>
            </w:r>
          </w:p>
        </w:tc>
        <w:tc>
          <w:tcPr>
            <w:tcW w:w="4056" w:type="pct"/>
            <w:noWrap w:val="0"/>
            <w:vAlign w:val="center"/>
          </w:tcPr>
          <w:p>
            <w:pPr>
              <w:spacing w:line="400" w:lineRule="exact"/>
              <w:rPr>
                <w:bCs/>
                <w:kern w:val="0"/>
                <w:szCs w:val="21"/>
              </w:rPr>
            </w:pPr>
            <w:r>
              <w:rPr>
                <w:rFonts w:hint="eastAsia" w:ascii="宋体" w:hAnsi="宋体"/>
                <w:bCs/>
                <w:kern w:val="0"/>
              </w:rPr>
              <w:t>今后的指导过程中，教师应重点加强毕业设计指导过程中培养学生综合运用基本知识解决实际问题能力、沟通能力的培养。</w:t>
            </w:r>
            <w:r>
              <w:rPr>
                <w:rFonts w:ascii="宋体" w:hAnsi="宋体"/>
                <w:bCs/>
                <w:kern w:val="0"/>
              </w:rPr>
              <w:t>增加学生之间、师生之间的沟通、交流等互动环节，增强同学们的运用专业知识表述的能力，训练工作有序进展推进能力，提高应用专业技能</w:t>
            </w:r>
            <w:r>
              <w:rPr>
                <w:rFonts w:hint="eastAsia" w:ascii="宋体" w:hAnsi="宋体"/>
                <w:bCs/>
                <w:kern w:val="0"/>
              </w:rPr>
              <w:t>，</w:t>
            </w:r>
            <w:r>
              <w:rPr>
                <w:rFonts w:ascii="宋体" w:hAnsi="宋体"/>
                <w:bCs/>
                <w:kern w:val="0"/>
              </w:rPr>
              <w:t>更好保障各项工作顺利推进。</w:t>
            </w:r>
          </w:p>
        </w:tc>
      </w:tr>
    </w:tbl>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740BE4"/>
    <w:multiLevelType w:val="singleLevel"/>
    <w:tmpl w:val="DD740BE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1MWRkNjY0OWJmNWUyMzk4Y2IyNDZjYmU5YTA0NDAifQ=="/>
  </w:docVars>
  <w:rsids>
    <w:rsidRoot w:val="06A70431"/>
    <w:rsid w:val="06A70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 w:type="character" w:styleId="6">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2024-03-06T05:12:00Z</dcterms:created>
  <dc:creator>易海土匠</dc:creator>
  <cp:lastModifiedBy>易海土匠</cp:lastModifiedBy>
  <dcterms:modified xsi:type="dcterms:W3CDTF">2024-03-06T05:12:32Z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A111FAE29DF741CF8B77089494B73FE3_11</vt:lpwstr>
  </property>
</Properties>
</file>