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学习通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</w:rPr>
        <w:t>在线学习方式、课程考核和成绩管理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学习方式</w:t>
      </w:r>
    </w:p>
    <w:p>
      <w:pPr>
        <w:numPr>
          <w:ilvl w:val="0"/>
          <w:numId w:val="0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已选定课程的同</w:t>
      </w:r>
      <w:r>
        <w:rPr>
          <w:rFonts w:hint="eastAsia" w:ascii="仿宋_GB2312" w:hAnsi="仿宋_GB2312" w:eastAsia="仿宋_GB2312" w:cs="仿宋_GB2312"/>
          <w:sz w:val="28"/>
          <w:szCs w:val="28"/>
        </w:rPr>
        <w:t>学于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</w:rPr>
        <w:t>后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，用自己在学校的学号作为学习账号，初始密码为：s654321s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修改过密码的需要输入自己设置的密码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，进入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安徽建筑大学网络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教学平台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（http://ahjzu.fy.chaoxing.com/）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或下载学习通APP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观看视频，自学课程内容，看完课程每一集视频，学完所有视频内容并通过作业后，可进入网上在线考试环节，通过考试后即完成选定课程的学习。</w:t>
      </w:r>
    </w:p>
    <w:p>
      <w:pPr>
        <w:numPr>
          <w:ilvl w:val="0"/>
          <w:numId w:val="0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学习路径：</w:t>
      </w:r>
    </w:p>
    <w:p>
      <w:pPr>
        <w:numPr>
          <w:ilvl w:val="0"/>
          <w:numId w:val="0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PC端：只要有联网的计算机资源，无论身处何处均能进入如下网址（http://ahjzu.fy.chaoxing.com/），进行网络公选课的正式学习。学校不另行安排上机时间学习，学生自主安排时间学习。</w:t>
      </w:r>
    </w:p>
    <w:p>
      <w:pPr>
        <w:numPr>
          <w:ilvl w:val="0"/>
          <w:numId w:val="0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手机端：</w:t>
      </w:r>
    </w:p>
    <w:p>
      <w:pPr>
        <w:numPr>
          <w:ilvl w:val="0"/>
          <w:numId w:val="0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app使用下载方式</w:t>
      </w:r>
    </w:p>
    <w:p>
      <w:pPr>
        <w:numPr>
          <w:ilvl w:val="0"/>
          <w:numId w:val="0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 xml:space="preserve">      a、在手机app商店里直接搜索“超星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eastAsia="zh-CN"/>
        </w:rPr>
        <w:t>学习通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”下载安装或者空间左下角下载安装。</w:t>
      </w:r>
    </w:p>
    <w:p>
      <w:pPr>
        <w:numPr>
          <w:ilvl w:val="0"/>
          <w:numId w:val="0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 xml:space="preserve">      b、下载地址：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instrText xml:space="preserve"> HYPERLINK "http://apps.chaoxing.com/d/app/4.html" </w:instrTex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http://apps.ch</w:t>
      </w:r>
      <w:bookmarkStart w:id="0" w:name="_Hlt492470242"/>
      <w:bookmarkStart w:id="1" w:name="_Hlt492470241"/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a</w:t>
      </w:r>
      <w:bookmarkEnd w:id="0"/>
      <w:bookmarkEnd w:id="1"/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oxing.com/d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fldChar w:fldCharType="end"/>
      </w:r>
    </w:p>
    <w:p>
      <w:pPr>
        <w:numPr>
          <w:ilvl w:val="0"/>
          <w:numId w:val="0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 xml:space="preserve">      c、扫描二维码安装</w:t>
      </w:r>
    </w:p>
    <w:p>
      <w:pPr>
        <w:numPr>
          <w:ilvl w:val="0"/>
          <w:numId w:val="0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2165985</wp:posOffset>
            </wp:positionH>
            <wp:positionV relativeFrom="paragraph">
              <wp:posOffset>55245</wp:posOffset>
            </wp:positionV>
            <wp:extent cx="1598930" cy="1748790"/>
            <wp:effectExtent l="0" t="0" r="20320" b="22860"/>
            <wp:wrapTight wrapText="bothSides">
              <wp:wrapPolygon>
                <wp:start x="0" y="0"/>
                <wp:lineTo x="0" y="21529"/>
                <wp:lineTo x="21488" y="21529"/>
                <wp:lineTo x="21488" y="0"/>
                <wp:lineTo x="0" y="0"/>
              </wp:wrapPolygon>
            </wp:wrapTight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74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</w:p>
    <w:p>
      <w:pPr>
        <w:numPr>
          <w:ilvl w:val="0"/>
          <w:numId w:val="0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</w:p>
    <w:p>
      <w:pPr>
        <w:numPr>
          <w:ilvl w:val="0"/>
          <w:numId w:val="0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</w:p>
    <w:p>
      <w:pPr>
        <w:numPr>
          <w:ilvl w:val="0"/>
          <w:numId w:val="0"/>
        </w:numPr>
        <w:spacing w:line="560" w:lineRule="exact"/>
        <w:jc w:val="left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</w:p>
    <w:p>
      <w:pPr>
        <w:numPr>
          <w:ilvl w:val="0"/>
          <w:numId w:val="0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登陆方式</w:t>
      </w:r>
    </w:p>
    <w:p>
      <w:pPr>
        <w:numPr>
          <w:ilvl w:val="0"/>
          <w:numId w:val="0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请点击学习通右下角“我”再点击左上“请先登录”，点击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eastAsia="zh-CN"/>
        </w:rPr>
        <w:t>下方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eastAsia="zh-CN"/>
        </w:rPr>
        <w:t>其他登录方式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”，在登录界面学校输入“安徽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建筑大学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”，账号用“学号”，按操作进行登录学习。如遇无法登录情况请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在安徽建筑大学网络教学平台首页（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http://ahjzu.fy.chaoxing.com/portal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右下角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联系在线客服咨询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另有安建大学生在线学习答疑QQ群，群号：438357355</w:t>
      </w:r>
    </w:p>
    <w:p>
      <w:pPr>
        <w:spacing w:line="600" w:lineRule="exact"/>
        <w:ind w:firstLine="640"/>
        <w:rPr>
          <w:rFonts w:hint="eastAsia" w:cs="宋体"/>
          <w:sz w:val="28"/>
          <w:szCs w:val="28"/>
          <w:lang w:val="en-US" w:eastAsia="zh-CN"/>
        </w:rPr>
      </w:pPr>
      <w: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3578860</wp:posOffset>
            </wp:positionH>
            <wp:positionV relativeFrom="paragraph">
              <wp:posOffset>106045</wp:posOffset>
            </wp:positionV>
            <wp:extent cx="1724660" cy="3619500"/>
            <wp:effectExtent l="9525" t="9525" r="18415" b="9525"/>
            <wp:wrapNone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361950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101600</wp:posOffset>
            </wp:positionV>
            <wp:extent cx="1731645" cy="3632200"/>
            <wp:effectExtent l="9525" t="9525" r="11430" b="15875"/>
            <wp:wrapNone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1645" cy="363220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1818640</wp:posOffset>
            </wp:positionH>
            <wp:positionV relativeFrom="paragraph">
              <wp:posOffset>104775</wp:posOffset>
            </wp:positionV>
            <wp:extent cx="1705610" cy="3625215"/>
            <wp:effectExtent l="9525" t="9525" r="18415" b="13335"/>
            <wp:wrapNone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5610" cy="362521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rFonts w:hint="eastAsia" w:cs="宋体"/>
          <w:sz w:val="28"/>
          <w:szCs w:val="28"/>
          <w:lang w:val="en-US" w:eastAsia="zh-CN"/>
        </w:rPr>
        <w:t xml:space="preserve">             </w:t>
      </w:r>
    </w:p>
    <w:p>
      <w:pPr>
        <w:spacing w:line="600" w:lineRule="exact"/>
        <w:ind w:firstLine="640"/>
        <w:rPr>
          <w:rFonts w:hint="default" w:cs="宋体"/>
          <w:sz w:val="28"/>
          <w:szCs w:val="28"/>
          <w:lang w:val="en-US"/>
        </w:rPr>
      </w:pPr>
      <w:r>
        <w:rPr>
          <w:rFonts w:hint="eastAsia" w:cs="宋体"/>
          <w:sz w:val="28"/>
          <w:szCs w:val="28"/>
          <w:lang w:val="en-US" w:eastAsia="zh-CN"/>
        </w:rPr>
        <w:t xml:space="preserve">                    </w:t>
      </w:r>
    </w:p>
    <w:p>
      <w:pPr>
        <w:spacing w:line="600" w:lineRule="exact"/>
        <w:rPr>
          <w:rFonts w:hint="eastAsia" w:cs="宋体"/>
          <w:sz w:val="28"/>
          <w:szCs w:val="28"/>
        </w:rPr>
      </w:pPr>
    </w:p>
    <w:p>
      <w:pPr>
        <w:widowControl/>
        <w:spacing w:line="600" w:lineRule="exact"/>
        <w:jc w:val="left"/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</w:p>
    <w:p>
      <w:pPr>
        <w:widowControl/>
        <w:spacing w:line="600" w:lineRule="exact"/>
        <w:ind w:firstLine="560" w:firstLineChars="200"/>
        <w:jc w:val="left"/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</w:p>
    <w:p>
      <w:pPr>
        <w:widowControl/>
        <w:spacing w:line="600" w:lineRule="exact"/>
        <w:ind w:firstLine="560" w:firstLineChars="200"/>
        <w:jc w:val="left"/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</w:p>
    <w:p>
      <w:pPr>
        <w:widowControl/>
        <w:spacing w:line="600" w:lineRule="exact"/>
        <w:ind w:firstLine="560" w:firstLineChars="200"/>
        <w:jc w:val="left"/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</w:p>
    <w:p>
      <w:pPr>
        <w:widowControl/>
        <w:spacing w:line="600" w:lineRule="exact"/>
        <w:ind w:firstLine="560" w:firstLineChars="200"/>
        <w:jc w:val="left"/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</w:p>
    <w:p>
      <w:pPr>
        <w:widowControl/>
        <w:spacing w:line="600" w:lineRule="exact"/>
        <w:ind w:firstLine="560" w:firstLineChars="200"/>
        <w:jc w:val="left"/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</w:p>
    <w:p>
      <w:pPr>
        <w:widowControl/>
        <w:spacing w:line="600" w:lineRule="exact"/>
        <w:ind w:firstLine="560" w:firstLineChars="200"/>
        <w:jc w:val="left"/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3587750</wp:posOffset>
            </wp:positionH>
            <wp:positionV relativeFrom="paragraph">
              <wp:posOffset>37465</wp:posOffset>
            </wp:positionV>
            <wp:extent cx="1714500" cy="3679190"/>
            <wp:effectExtent l="9525" t="9525" r="9525" b="1651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67919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1816100</wp:posOffset>
            </wp:positionH>
            <wp:positionV relativeFrom="paragraph">
              <wp:posOffset>34925</wp:posOffset>
            </wp:positionV>
            <wp:extent cx="1726565" cy="3663950"/>
            <wp:effectExtent l="9525" t="9525" r="16510" b="12700"/>
            <wp:wrapNone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26565" cy="366395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36830</wp:posOffset>
            </wp:positionV>
            <wp:extent cx="1736090" cy="3681095"/>
            <wp:effectExtent l="9525" t="9525" r="16510" b="14605"/>
            <wp:wrapNone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368109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600" w:lineRule="exact"/>
        <w:ind w:firstLine="560" w:firstLineChars="200"/>
        <w:jc w:val="left"/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</w:p>
    <w:p>
      <w:pPr>
        <w:widowControl/>
        <w:spacing w:line="600" w:lineRule="exact"/>
        <w:ind w:firstLine="560" w:firstLineChars="200"/>
        <w:jc w:val="left"/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</w:p>
    <w:p>
      <w:pPr>
        <w:numPr>
          <w:ilvl w:val="0"/>
          <w:numId w:val="0"/>
        </w:numPr>
        <w:spacing w:line="560" w:lineRule="exact"/>
        <w:jc w:val="both"/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jc w:val="both"/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jc w:val="both"/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jc w:val="both"/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jc w:val="both"/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jc w:val="both"/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jc w:val="both"/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jc w:val="center"/>
        <w:rPr>
          <w:rFonts w:hint="default" w:ascii="仿宋_GB2312" w:hAnsi="仿宋_GB2312" w:eastAsia="仿宋_GB2312" w:cs="仿宋_GB2312"/>
          <w:color w:val="333333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21"/>
          <w:szCs w:val="21"/>
          <w:lang w:val="en-US" w:eastAsia="zh-CN"/>
        </w:rPr>
        <w:t>（上图为手机登录演示）</w:t>
      </w:r>
    </w:p>
    <w:p>
      <w:pPr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课程考核与成绩管理</w:t>
      </w:r>
    </w:p>
    <w:p>
      <w:pPr>
        <w:numPr>
          <w:ilvl w:val="0"/>
          <w:numId w:val="0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 xml:space="preserve">（一）考核方式 </w:t>
      </w:r>
    </w:p>
    <w:p>
      <w:pPr>
        <w:numPr>
          <w:ilvl w:val="0"/>
          <w:numId w:val="0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网络公选课采取形成性课程考核方式，课程最终考核成绩由观看视频（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%）、完成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章节测验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0%）和在线考试（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%）三部分组成。</w:t>
      </w:r>
    </w:p>
    <w:p>
      <w:pPr>
        <w:numPr>
          <w:ilvl w:val="0"/>
          <w:numId w:val="0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（二）成绩认定</w:t>
      </w:r>
    </w:p>
    <w:p>
      <w:pPr>
        <w:numPr>
          <w:ilvl w:val="0"/>
          <w:numId w:val="0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课程最终考核成绩=观看视频得分*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%+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章节测验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得分*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0%+在线考试得分*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%，最终考核成绩60分以上，获得本课程学分。</w:t>
      </w:r>
    </w:p>
    <w:p>
      <w:pPr>
        <w:numPr>
          <w:ilvl w:val="0"/>
          <w:numId w:val="0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如某同学观看视频得分为80，作业得分70，在线考试得分是80，则最后成绩为：80*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%+70*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0%+ 80*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%=7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4C6532"/>
    <w:multiLevelType w:val="singleLevel"/>
    <w:tmpl w:val="BD4C653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005FEE"/>
    <w:multiLevelType w:val="singleLevel"/>
    <w:tmpl w:val="58005FE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8141C"/>
    <w:rsid w:val="00243A23"/>
    <w:rsid w:val="00275B17"/>
    <w:rsid w:val="0031620A"/>
    <w:rsid w:val="00332202"/>
    <w:rsid w:val="00377E17"/>
    <w:rsid w:val="003C36EA"/>
    <w:rsid w:val="003E50B2"/>
    <w:rsid w:val="00510EB1"/>
    <w:rsid w:val="006204E7"/>
    <w:rsid w:val="00653577"/>
    <w:rsid w:val="006850AC"/>
    <w:rsid w:val="006924F5"/>
    <w:rsid w:val="006C1F47"/>
    <w:rsid w:val="006C3DDD"/>
    <w:rsid w:val="00824DB1"/>
    <w:rsid w:val="00867EEB"/>
    <w:rsid w:val="008B6A51"/>
    <w:rsid w:val="008E3C7C"/>
    <w:rsid w:val="009E7BE8"/>
    <w:rsid w:val="00B3281C"/>
    <w:rsid w:val="00B91F05"/>
    <w:rsid w:val="00BE0E12"/>
    <w:rsid w:val="00BE5FD4"/>
    <w:rsid w:val="00C91A77"/>
    <w:rsid w:val="00CA23E1"/>
    <w:rsid w:val="00E04B5C"/>
    <w:rsid w:val="09C67540"/>
    <w:rsid w:val="1B580BAC"/>
    <w:rsid w:val="41B5594B"/>
    <w:rsid w:val="5578141C"/>
    <w:rsid w:val="63C62E8D"/>
    <w:rsid w:val="6AFD14F6"/>
    <w:rsid w:val="798A1C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</Words>
  <Characters>545</Characters>
  <Lines>4</Lines>
  <Paragraphs>1</Paragraphs>
  <TotalTime>118</TotalTime>
  <ScaleCrop>false</ScaleCrop>
  <LinksUpToDate>false</LinksUpToDate>
  <CharactersWithSpaces>639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2017-09-28T07:24:00Z</dcterms:created>
  <dc:creator>217z</dc:creator>
  <cp:lastModifiedBy>晓天</cp:lastModifiedBy>
  <dcterms:modified xsi:type="dcterms:W3CDTF">2021-06-29T01:47:48Z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790DF64BD0454835BE8C20B78EA3661E</vt:lpwstr>
  </property>
</Properties>
</file>