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762"/>
        <w:gridCol w:w="3349"/>
        <w:gridCol w:w="5245"/>
      </w:tblGrid>
      <w:tr w:rsidR="001F2923" w:rsidRPr="00E22FFC" w14:paraId="37B3E962" w14:textId="77777777" w:rsidTr="00A83369">
        <w:trPr>
          <w:trHeight w:val="270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09EB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附件1: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5A1F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1F2923" w:rsidRPr="00E22FFC" w14:paraId="06399CD2" w14:textId="77777777" w:rsidTr="00A83369">
        <w:trPr>
          <w:trHeight w:val="450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BC407" w14:textId="098C2699" w:rsidR="00142BCD" w:rsidRPr="00E22FFC" w:rsidRDefault="00142BCD" w:rsidP="00A8336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22FF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安徽省教育厅大学生科学和技能A</w:t>
            </w:r>
            <w:r w:rsidRPr="00E22FF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、</w:t>
            </w:r>
            <w:r w:rsidRPr="00E22FF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B类竞赛列表</w:t>
            </w:r>
          </w:p>
          <w:p w14:paraId="70B5B6FB" w14:textId="5B018DDA" w:rsidR="001F2923" w:rsidRPr="00E22FFC" w:rsidRDefault="00142BCD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22FF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（2019年版）</w:t>
            </w:r>
          </w:p>
        </w:tc>
      </w:tr>
      <w:tr w:rsidR="001F2923" w:rsidRPr="00E22FFC" w14:paraId="52F2D3D8" w14:textId="77777777" w:rsidTr="00A83369">
        <w:trPr>
          <w:trHeight w:val="435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1CB7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A类赛事列表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E11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215AEFCC" w14:textId="77777777" w:rsidTr="00A83369">
        <w:trPr>
          <w:trHeight w:val="43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F0EA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2CFC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2693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</w:tr>
      <w:tr w:rsidR="001F2923" w:rsidRPr="00E22FFC" w14:paraId="26A89CD1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AE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202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“互联网+”大学生创新创业大赛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6B4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教育部等部委</w:t>
            </w:r>
          </w:p>
        </w:tc>
      </w:tr>
      <w:tr w:rsidR="001F2923" w:rsidRPr="00E22FFC" w14:paraId="2500BC8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FA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D9D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全国大学生原创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动漫大赛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FD9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</w:t>
            </w:r>
          </w:p>
        </w:tc>
      </w:tr>
      <w:tr w:rsidR="001F2923" w:rsidRPr="00E22FFC" w14:paraId="211E68C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75D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6B9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全国大学生智能汽车竞赛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49B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4554007D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48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CC0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499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3CE8423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9D2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E20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377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0F265FF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975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128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全国大学生广告艺术大赛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64E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7677163B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636B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CDC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全国大学生机械创新设计大赛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E15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19327D9D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BBC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ECA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AC5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2C44769E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AFE0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F4E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E5B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46CA7877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518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A8D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全国大学生数学建模竞赛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498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40AEA7A2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3E7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BE1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全国大学生物流设计大赛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129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5105E1B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D2F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6EA6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全国高等医学院校临床基本技能竞赛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473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45420777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BF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DDC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全国大学生化学实验竞赛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8B8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0D0666B6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922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5C3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全国大学生交通科技大赛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930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19384494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E90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77D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“西门子杯”中国智能制造挑战赛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330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6D47357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A6DA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BEC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全国大学生物理实验竞赛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4D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22021E34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C0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129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全国高校“创意 创新 创业”电子商务挑战赛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1F5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教育部、财政部“质量工程”支持</w:t>
            </w:r>
          </w:p>
        </w:tc>
      </w:tr>
      <w:tr w:rsidR="001F2923" w:rsidRPr="00E22FFC" w14:paraId="3EEAF35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8350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71E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全国职业院校技能大赛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D1B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教育部等部委</w:t>
            </w:r>
          </w:p>
        </w:tc>
      </w:tr>
      <w:tr w:rsidR="001F2923" w:rsidRPr="00E22FFC" w14:paraId="46B0BD8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D0E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23A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“挑战杯”全国大学生系列科技学术竞赛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BF0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教育部等部委</w:t>
            </w:r>
          </w:p>
        </w:tc>
      </w:tr>
      <w:tr w:rsidR="001F2923" w:rsidRPr="00E22FFC" w14:paraId="762AF3D9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DE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873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世界技能大赛（含中国选拔赛）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3EB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世界技能组织</w:t>
            </w:r>
          </w:p>
        </w:tc>
      </w:tr>
      <w:tr w:rsidR="001F2923" w:rsidRPr="00E22FFC" w14:paraId="444BACE9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D3B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44F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省教育厅认定的其他重大赛事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E31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4B544011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4727" w14:textId="77777777" w:rsidR="001F2923" w:rsidRPr="00E22FFC" w:rsidRDefault="001F2923" w:rsidP="00A83369">
            <w:pPr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77B35" w14:textId="77777777" w:rsidR="001F2923" w:rsidRPr="00E22FFC" w:rsidRDefault="001F2923" w:rsidP="00A83369">
            <w:pPr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8A82" w14:textId="77777777" w:rsidR="001F2923" w:rsidRPr="00E22FFC" w:rsidRDefault="001F2923" w:rsidP="00A83369">
            <w:pPr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A2AB7C5" w14:textId="77777777" w:rsidR="00D0263E" w:rsidRPr="00E22FFC" w:rsidRDefault="00D0263E">
      <w:pPr>
        <w:rPr>
          <w:rFonts w:ascii="仿宋" w:eastAsia="仿宋" w:hAnsi="仿宋"/>
        </w:rPr>
      </w:pPr>
      <w:r w:rsidRPr="00E22FFC">
        <w:rPr>
          <w:rFonts w:ascii="仿宋" w:eastAsia="仿宋" w:hAnsi="仿宋"/>
        </w:rPr>
        <w:br w:type="page"/>
      </w:r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762"/>
        <w:gridCol w:w="3349"/>
        <w:gridCol w:w="5245"/>
      </w:tblGrid>
      <w:tr w:rsidR="001F2923" w:rsidRPr="00E22FFC" w14:paraId="1DAAB99B" w14:textId="77777777" w:rsidTr="00A83369">
        <w:trPr>
          <w:trHeight w:val="435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8FA7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B类赛事列表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E22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7494616A" w14:textId="77777777" w:rsidTr="00A83369">
        <w:trPr>
          <w:trHeight w:val="43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04F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D7B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3A9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</w:tr>
      <w:tr w:rsidR="001F2923" w:rsidRPr="00E22FFC" w14:paraId="39A37C5C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B2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BE4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A类赛事的省级赛事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5AA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教育部等多部委联合举办</w:t>
            </w:r>
          </w:p>
        </w:tc>
      </w:tr>
      <w:tr w:rsidR="001F2923" w:rsidRPr="00E22FFC" w14:paraId="2721DF78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4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83B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全国大学生GIS应用技能大赛（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70F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中国地理信息产业协会、教育部高等学校地理科学教学指导委员会/安徽省教育厅</w:t>
            </w:r>
          </w:p>
        </w:tc>
      </w:tr>
      <w:tr w:rsidR="001F2923" w:rsidRPr="00E22FFC" w14:paraId="0AA62735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BE5B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990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安徽省第十届大学生GIS技能大赛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7D1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安徽省人民政府地理信息系统工作委员会办公室、安徽省科学技术协会</w:t>
            </w:r>
          </w:p>
        </w:tc>
      </w:tr>
      <w:tr w:rsidR="001F2923" w:rsidRPr="00E22FFC" w14:paraId="43FB1E4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5E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E45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全国大学生数学竞赛（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255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中国数学会普及工作委员会/安徽省教育厅</w:t>
            </w:r>
          </w:p>
        </w:tc>
      </w:tr>
      <w:tr w:rsidR="001F2923" w:rsidRPr="00E22FFC" w14:paraId="7E7DDDFB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289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F57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“外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社杯”全国英语演讲大赛（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E6F3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教育部高等学校大学外语教学指导委员会、教育部高等学校英语专业教学指导委员会/安徽省教育厅</w:t>
            </w:r>
          </w:p>
        </w:tc>
      </w:tr>
      <w:tr w:rsidR="001F2923" w:rsidRPr="00E22FFC" w14:paraId="07E67A2F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530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37C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“外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社杯”全国英语写作大赛（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C93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教育部高等学校大学外语教学指导委员会、教育部高等学校英语专业教学指导委员会/安徽省教育厅</w:t>
            </w:r>
          </w:p>
        </w:tc>
      </w:tr>
      <w:tr w:rsidR="001F2923" w:rsidRPr="00E22FFC" w14:paraId="222EE21E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14E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7B6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“外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社杯”全国英语阅读大赛（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23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教育部高等学校大学外语教学指导委员会、教育部高等学校英语专业教学指导委员会/安徽省教育厅</w:t>
            </w:r>
          </w:p>
        </w:tc>
      </w:tr>
      <w:tr w:rsidR="001F2923" w:rsidRPr="00E22FFC" w14:paraId="604C3983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583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FC1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“外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社杯”全国高职高专英语写作大赛（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BEF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外语教学与研究出版社/安徽省教育厅</w:t>
            </w:r>
          </w:p>
        </w:tc>
      </w:tr>
      <w:tr w:rsidR="001F2923" w:rsidRPr="00E22FFC" w14:paraId="64BDCB21" w14:textId="77777777" w:rsidTr="00A83369">
        <w:trPr>
          <w:trHeight w:val="81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355F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751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全国大学生化工设计竞赛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160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中国化工学会、中国化工教育协会、教育部高等学校化工类专业教学指导委员会、东华工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程科技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股份有限公司、三井化学株式会社</w:t>
            </w:r>
          </w:p>
        </w:tc>
      </w:tr>
      <w:tr w:rsidR="001F2923" w:rsidRPr="00E22FFC" w14:paraId="79C3AD5A" w14:textId="77777777" w:rsidTr="00A83369">
        <w:trPr>
          <w:trHeight w:val="81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A0DB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5D2A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全国高等学校大学生测绘技能大赛（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AD2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教育部高等学校测绘学科教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学指导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委员会、国家测绘地理信息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局职业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鉴定指导中心、中国测绘学会测绘教育委员会/安徽省教育厅</w:t>
            </w:r>
          </w:p>
        </w:tc>
      </w:tr>
      <w:tr w:rsidR="001F2923" w:rsidRPr="00E22FFC" w14:paraId="2237FE1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4842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01D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全国大学生医学影像技术实践技能大赛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643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中华医学影像技术分会</w:t>
            </w:r>
          </w:p>
        </w:tc>
      </w:tr>
      <w:tr w:rsidR="001F2923" w:rsidRPr="00E22FFC" w14:paraId="799F036C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C84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A95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医学检验技能大赛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7F28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470390FF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ECB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D5A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康复治疗技术大赛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39D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025A3E77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60B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999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助产技能大赛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9C6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05FB7F64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184C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F6E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iCAN</w:t>
            </w:r>
            <w:proofErr w:type="spell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国际大学生创新创业大赛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C2F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教育部计算机教学指导委员会、全球华人微纳米分子系统学会联合主办</w:t>
            </w:r>
          </w:p>
        </w:tc>
      </w:tr>
      <w:tr w:rsidR="001F2923" w:rsidRPr="00E22FFC" w14:paraId="61F73FE4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CF3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00B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中国大学生计算机设计大赛（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4BD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教育部大学计算机课程教学指导委员会/安徽省教育厅</w:t>
            </w:r>
          </w:p>
        </w:tc>
      </w:tr>
      <w:tr w:rsidR="001F2923" w:rsidRPr="00E22FFC" w14:paraId="0DD89E13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E92A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DA3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安徽省大学生模拟法庭比赛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F6F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43D4D6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F18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A65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中国（安徽）大学生茶文化创新大赛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EB3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4293EF2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592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889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全省大学生诗文朗诵大赛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E26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安徽省语言文字工作委员会</w:t>
            </w:r>
          </w:p>
        </w:tc>
      </w:tr>
      <w:tr w:rsidR="001F2923" w:rsidRPr="00E22FFC" w14:paraId="389F8B7A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B17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FD1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全国大学生信息安全竞赛（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4E6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教育部高等学校信息安全专业教学指导委员会/安徽省教育厅</w:t>
            </w:r>
          </w:p>
        </w:tc>
      </w:tr>
      <w:tr w:rsidR="001F2923" w:rsidRPr="00E22FFC" w14:paraId="771AC82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9ACA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1E9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安徽省机器人大赛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325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17F7616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DDC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0D1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全国大学生物联网设计竞赛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07D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教育部高等学校计算机类专业教学指导委员会</w:t>
            </w:r>
          </w:p>
        </w:tc>
      </w:tr>
    </w:tbl>
    <w:p w14:paraId="21E20ACD" w14:textId="77777777" w:rsidR="001F2923" w:rsidRPr="00E22FFC" w:rsidRDefault="001F2923" w:rsidP="001F2923">
      <w:pPr>
        <w:rPr>
          <w:rFonts w:ascii="仿宋" w:eastAsia="仿宋" w:hAnsi="仿宋"/>
          <w:color w:val="000000"/>
        </w:rPr>
      </w:pPr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762"/>
        <w:gridCol w:w="3349"/>
        <w:gridCol w:w="5245"/>
      </w:tblGrid>
      <w:tr w:rsidR="001F2923" w:rsidRPr="00E22FFC" w14:paraId="7EF81FA6" w14:textId="77777777" w:rsidTr="00A83369">
        <w:trPr>
          <w:trHeight w:val="43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2805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D47F1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D9C4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</w:tr>
      <w:tr w:rsidR="001F2923" w:rsidRPr="00E22FFC" w14:paraId="694A5048" w14:textId="77777777" w:rsidTr="00A83369">
        <w:trPr>
          <w:trHeight w:val="108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0F4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E6E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安徽省青年互联网创业大赛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995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共青团安徽省委员会、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安徽省网信办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、安徽省教育厅、安徽省科技厅、安徽省经济和信息化委员会、安徽省人力资源和社会保障厅、安徽省农业委员会、安徽省商务厅、安徽省学生联合会</w:t>
            </w:r>
          </w:p>
        </w:tc>
      </w:tr>
      <w:tr w:rsidR="001F2923" w:rsidRPr="00E22FFC" w14:paraId="231393FD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C46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92F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安徽省大学生金融投资创新大赛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B92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26A1907C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8B1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189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安徽省大学生财税技能大赛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2DF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641824B0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58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8C4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中国大学生服务外包创新创业大赛（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4FC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教育部、商务部、无锡市政府/安徽省教育厅</w:t>
            </w:r>
          </w:p>
        </w:tc>
      </w:tr>
      <w:tr w:rsidR="001F2923" w:rsidRPr="00E22FFC" w14:paraId="19B073A4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51E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6B5D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安徽省大学生国际贸易综合技能大赛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491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67691E80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47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7A1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全国大学生市场调查与分析大赛（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992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教育部高等学校统计学类专业教学指导委员会、中国商业统计学会/安徽省教育厅</w:t>
            </w:r>
          </w:p>
        </w:tc>
      </w:tr>
      <w:tr w:rsidR="001F2923" w:rsidRPr="00E22FFC" w14:paraId="093B9E91" w14:textId="77777777" w:rsidTr="00A83369">
        <w:trPr>
          <w:trHeight w:val="81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575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64F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全国大学生先进成图技术与产品信息建模创新大赛（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B35C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工程图学课程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教学指导委员会、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中国图学学会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制图技术专业委员会、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中国图学学会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产品信息建模专业委员会/安徽省教育厅</w:t>
            </w:r>
          </w:p>
        </w:tc>
      </w:tr>
      <w:tr w:rsidR="001F2923" w:rsidRPr="00E22FFC" w14:paraId="172D0F71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0DB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338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全国大学生水利创新设计大赛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B74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教育部高等学校水利类专业教学指导委员会，中国水利教育协会高等教育分会</w:t>
            </w:r>
          </w:p>
        </w:tc>
      </w:tr>
      <w:tr w:rsidR="001F2923" w:rsidRPr="00E22FFC" w14:paraId="295DE4FD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F4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813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全国管理决策模拟大赛（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694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全国管理决策模拟大赛组委会/安徽省教育厅</w:t>
            </w:r>
          </w:p>
        </w:tc>
      </w:tr>
      <w:tr w:rsidR="001F2923" w:rsidRPr="00E22FFC" w14:paraId="4714F81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9DA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EEC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安徽省大学生生物标本制作大赛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079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1C46A160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E0A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2D0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中华全国日语演讲大赛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2E8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中国教育国际交流协会、日本华人教授会议、日本经济新闻社</w:t>
            </w:r>
          </w:p>
        </w:tc>
      </w:tr>
      <w:tr w:rsidR="001F2923" w:rsidRPr="00E22FFC" w14:paraId="56EECCEE" w14:textId="77777777" w:rsidTr="00A83369">
        <w:trPr>
          <w:trHeight w:val="81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996B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8AE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大学生创新创业ERP管理大赛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31A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中国高等教育学会、教育部高等教育司、教育部高等学校工商管理类专业教学指导委员会、高等学校国家级实验教学示范中心联席会</w:t>
            </w:r>
          </w:p>
        </w:tc>
      </w:tr>
      <w:tr w:rsidR="001F2923" w:rsidRPr="00E22FFC" w14:paraId="2C896F4D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B5C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768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安徽省工业设计大赛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F8F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安徽省经济和信息化委员会、安徽省教育厅、安徽省科技厅等</w:t>
            </w:r>
          </w:p>
        </w:tc>
      </w:tr>
      <w:tr w:rsidR="001F2923" w:rsidRPr="00E22FFC" w14:paraId="441FF3A7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B7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EA7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安徽省大学生原创文学新星大赛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AC1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B7ACF89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2CD4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8EB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安徽省大学生职业规划设计大赛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EA2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安徽省教育厅、安徽省人力资源和社会保障厅、共青团安徽省委</w:t>
            </w:r>
          </w:p>
        </w:tc>
      </w:tr>
      <w:tr w:rsidR="001F2923" w:rsidRPr="00E22FFC" w14:paraId="70CC7E9C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990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8EB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全国大学生汽车方程式大赛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CEE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中国汽车工程学会</w:t>
            </w:r>
          </w:p>
        </w:tc>
      </w:tr>
      <w:tr w:rsidR="001F2923" w:rsidRPr="00E22FFC" w14:paraId="71DD1051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08D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850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大学生英语竞赛（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546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高等学校大学外语教学指导委员会/安徽省教育厅</w:t>
            </w:r>
          </w:p>
        </w:tc>
      </w:tr>
      <w:tr w:rsidR="001F2923" w:rsidRPr="00E22FFC" w14:paraId="0004CCB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DAE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A3E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安徽省“青春理想”大学生原创话剧大赛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133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</w:tbl>
    <w:p w14:paraId="532EAC93" w14:textId="77777777" w:rsidR="001F2923" w:rsidRPr="00E22FFC" w:rsidRDefault="001F2923" w:rsidP="001F2923">
      <w:pPr>
        <w:rPr>
          <w:rFonts w:ascii="仿宋" w:eastAsia="仿宋" w:hAnsi="仿宋"/>
          <w:color w:val="000000"/>
        </w:rPr>
      </w:pPr>
      <w:r w:rsidRPr="00E22FFC">
        <w:rPr>
          <w:rFonts w:ascii="仿宋" w:eastAsia="仿宋" w:hAnsi="仿宋"/>
          <w:color w:val="000000"/>
        </w:rPr>
        <w:br w:type="page"/>
      </w:r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762"/>
        <w:gridCol w:w="3349"/>
        <w:gridCol w:w="5245"/>
      </w:tblGrid>
      <w:tr w:rsidR="001F2923" w:rsidRPr="00E22FFC" w14:paraId="2F85CE18" w14:textId="77777777" w:rsidTr="00A83369">
        <w:trPr>
          <w:trHeight w:val="43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54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40C4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783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</w:tr>
      <w:tr w:rsidR="001F2923" w:rsidRPr="00E22FFC" w14:paraId="3F4A383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8B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BE9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安徽省大学生科普创意创新大赛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4C9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安徽省科学技术协会、安徽省教育厅、共青团安徽省委员会</w:t>
            </w:r>
          </w:p>
        </w:tc>
      </w:tr>
      <w:tr w:rsidR="001F2923" w:rsidRPr="00E22FFC" w14:paraId="1E142DD2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88A0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5122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全国大学生工业设计大赛（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4C9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教育部高等学校工业设计专业教学指导委员会、广东省教育厅/安徽省教育厅</w:t>
            </w:r>
          </w:p>
        </w:tc>
      </w:tr>
      <w:tr w:rsidR="001F2923" w:rsidRPr="00E22FFC" w14:paraId="316F3B66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E4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3FF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全国高等医药院校大学生药学/中药学专业实验技能竞赛（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430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教育部药学类教学指导委员会/安徽省教育厅</w:t>
            </w:r>
          </w:p>
        </w:tc>
      </w:tr>
      <w:tr w:rsidR="001F2923" w:rsidRPr="00E22FFC" w14:paraId="5D17B687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DB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92A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安徽省高等学校师范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生教学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技能竞赛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0E61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75C9FBBE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F64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E42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安徽省大学生未来律师辩论赛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6E2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6D7892E6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FB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FDE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安徽省大学生摄影作品大赛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B15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3EA5858B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789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110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安徽省大学生书法作品大赛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116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3CBC17CD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F95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624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安徽省大学生化学竞赛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6E4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74FC5D4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45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F74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安徽省高校物联网应用创新大赛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4DC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34034632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48BC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0B4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安徽省大学生纺织服装创意设计大赛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228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66DBB1A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CBF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6DBB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安徽省大学生创新创业ERP管理大赛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D81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EB62184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5DB0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F2B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全国周培源大学生力学竞赛（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39A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教育部高等学校力学基础课程教学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指导分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委员会、中国力学学会、周培源基金会/安徽省教育厅</w:t>
            </w:r>
          </w:p>
        </w:tc>
      </w:tr>
      <w:tr w:rsidR="001F2923" w:rsidRPr="00E22FFC" w14:paraId="76355C9F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B61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9B3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安徽省大学生食品设计创新大赛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BD4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0089FCB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32F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52F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全国大学生统计建模大赛（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9A9E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中国统计教育学会/安徽省教育厅</w:t>
            </w:r>
          </w:p>
        </w:tc>
      </w:tr>
      <w:tr w:rsidR="001F2923" w:rsidRPr="00E22FFC" w14:paraId="2F3F7494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1F8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CC9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安徽省大学生国际商务模拟谈判大赛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9B3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B46DE2E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A1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093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高校环保科技创意大赛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6E2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国际节能环保协会</w:t>
            </w:r>
          </w:p>
        </w:tc>
      </w:tr>
      <w:tr w:rsidR="001F2923" w:rsidRPr="00E22FFC" w14:paraId="3A8D82B3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68E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166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城市与景观“U+L新思维”全国大学生概念设计竞赛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0E8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住房和城乡建设部全国高等学校风景园林学科专业指导委员会、《中国园林》杂志社、华中科技大学</w:t>
            </w:r>
          </w:p>
        </w:tc>
      </w:tr>
      <w:tr w:rsidR="001F2923" w:rsidRPr="00E22FFC" w14:paraId="0F6F3BAC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DA34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DA2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全国大学生金相技能大赛（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含省赛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4CFA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教育部高等学校材料类专业教学指导委员会/安徽省教育厅</w:t>
            </w:r>
          </w:p>
        </w:tc>
      </w:tr>
      <w:tr w:rsidR="001F2923" w:rsidRPr="00E22FFC" w14:paraId="2CDF779D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EE95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8D5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安徽省大学生财会技能创新大赛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19D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675B2D0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24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C29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全国护理学本科临床技能大赛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5DB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全国高等医学教育学会护理教育分会</w:t>
            </w:r>
          </w:p>
        </w:tc>
      </w:tr>
      <w:tr w:rsidR="001F2923" w:rsidRPr="00E22FFC" w14:paraId="39ECA0B3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015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4F5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全国高等院校工程造价技能及创新竞赛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2D5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中国建设工程造价管理协会、住建部高等学校工程管理和工程造价学科专业指导委员会</w:t>
            </w:r>
          </w:p>
        </w:tc>
      </w:tr>
      <w:tr w:rsidR="001F2923" w:rsidRPr="00E22FFC" w14:paraId="1269297D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60C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9E1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华东地区高校结构设计邀请赛/安徽省大学生结构设计竞赛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A92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住建部高等学校土木工程学科专业指导委员会、同济大学/安徽省教育厅</w:t>
            </w:r>
          </w:p>
        </w:tc>
      </w:tr>
    </w:tbl>
    <w:p w14:paraId="6769536F" w14:textId="77777777" w:rsidR="001F2923" w:rsidRPr="00E22FFC" w:rsidRDefault="001F2923" w:rsidP="001F2923">
      <w:pPr>
        <w:rPr>
          <w:rFonts w:ascii="仿宋" w:eastAsia="仿宋" w:hAnsi="仿宋"/>
          <w:color w:val="000000"/>
        </w:rPr>
      </w:pPr>
      <w:r w:rsidRPr="00E22FFC">
        <w:rPr>
          <w:rFonts w:ascii="仿宋" w:eastAsia="仿宋" w:hAnsi="仿宋"/>
          <w:color w:val="000000"/>
        </w:rPr>
        <w:br w:type="page"/>
      </w:r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762"/>
        <w:gridCol w:w="3349"/>
        <w:gridCol w:w="5245"/>
      </w:tblGrid>
      <w:tr w:rsidR="001F2923" w:rsidRPr="00E22FFC" w14:paraId="7C2D13CE" w14:textId="77777777" w:rsidTr="00A83369">
        <w:trPr>
          <w:trHeight w:val="43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BDE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85C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55D1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</w:tr>
      <w:tr w:rsidR="001F2923" w:rsidRPr="00E22FFC" w14:paraId="6ACDAB8C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0B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287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全国大学生过程装备实践与创新大赛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0E7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中国机械工程学会、教育部高等学校机械学科过程装备与控制工程专业教学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指导分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委员会</w:t>
            </w:r>
          </w:p>
        </w:tc>
      </w:tr>
      <w:tr w:rsidR="001F2923" w:rsidRPr="00E22FFC" w14:paraId="1136EF14" w14:textId="77777777" w:rsidTr="00A83369">
        <w:trPr>
          <w:trHeight w:val="81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76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E9D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动漫大赛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947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安徽省文化厅、安徽省新闻和出版广播电视局、安徽省教育厅、安徽省科技厅、安徽省经济和信息化委员会、安徽省商务厅</w:t>
            </w:r>
          </w:p>
        </w:tc>
      </w:tr>
      <w:tr w:rsidR="001F2923" w:rsidRPr="00E22FFC" w14:paraId="0B24D216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52E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C10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安徽省大学生跨文化能力大赛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0A8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6233EE39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3ED5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24A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中国创新方法大赛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179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中国科协、科技部</w:t>
            </w:r>
          </w:p>
        </w:tc>
      </w:tr>
      <w:tr w:rsidR="001F2923" w:rsidRPr="00E22FFC" w14:paraId="6F60086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FB2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664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“中国软件杯”大学生软件设计大赛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6F4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工业和信息化部、教育部和江苏省人民政府</w:t>
            </w:r>
          </w:p>
        </w:tc>
      </w:tr>
      <w:tr w:rsidR="001F2923" w:rsidRPr="00E22FFC" w14:paraId="7280D13C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6E6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193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微电影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5A5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7EF0E023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EC5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EE6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安徽省大学生企业管理技能大赛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61C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73A10D4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9E8A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0FD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安徽省大学生计算机博弈大赛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80C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06181E49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F01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58F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安徽省大学生环境设计大赛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199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942344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B3A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EF9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安徽省高校“模拟政府”大赛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4BF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482D6402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EF9F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807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安徽省大学生生命科学竞赛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A5D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4C7A872E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6E4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738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安徽省大数据与人工智能应用竞赛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FFA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014C32EA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D91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50C9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“新时代·新思想·新青年”安徽省大学生学习马克思主义理论成果大赛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B71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07BEF17E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FAC5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478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安徽省高校建筑信息模型（BIM）应用大赛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39C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44C1C5A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7B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997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安徽省大学生物理学术竞赛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E32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2003A4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5E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36B9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安徽省大学生网络与分布式系统创新设计大赛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283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511615E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C32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98E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安徽省大学生工业机器人应用大赛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E81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</w:t>
            </w:r>
          </w:p>
        </w:tc>
      </w:tr>
      <w:tr w:rsidR="001F2923" w:rsidRPr="00E22FFC" w14:paraId="2262AD40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3F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D2D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全国三维数字化创新设计大赛（大学生组）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7F9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国家制造业信息化培训中心、全国3D技术推广服务与教育培训联盟（3D动力）、</w:t>
            </w:r>
            <w:proofErr w:type="gramStart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中国图学学会</w:t>
            </w:r>
            <w:proofErr w:type="gramEnd"/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、光华设计发展基金会</w:t>
            </w:r>
          </w:p>
        </w:tc>
      </w:tr>
      <w:tr w:rsidR="001F2923" w:rsidRPr="00E22FFC" w14:paraId="712EFBE9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465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6C7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两岸新锐设计竞赛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0566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中国高等教育学会、中华中山文化交流协会、北京歌华文化发展集团</w:t>
            </w:r>
          </w:p>
        </w:tc>
      </w:tr>
      <w:tr w:rsidR="001F2923" w:rsidRPr="00E22FFC" w14:paraId="066AFE08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FC0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5F0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安徽省大学生创业大赛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4CA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安徽省教育厅、安徽省人力资源和社会保障厅、共青团安徽省委</w:t>
            </w:r>
          </w:p>
        </w:tc>
      </w:tr>
      <w:tr w:rsidR="001F2923" w:rsidRPr="00E22FFC" w14:paraId="69E12BF7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3333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118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全国大学生英语辩论赛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63D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团中央学校部、全国学联秘书处、北京外国语大学</w:t>
            </w:r>
          </w:p>
        </w:tc>
      </w:tr>
      <w:tr w:rsidR="001F2923" w:rsidRPr="00E22FFC" w14:paraId="0B5B6752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74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CC3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全省大学生国家通用语言文字应用能力大赛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4BF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安徽省语言文字工作委员会</w:t>
            </w:r>
          </w:p>
        </w:tc>
      </w:tr>
      <w:tr w:rsidR="001F2923" w:rsidRPr="00E22FFC" w14:paraId="3F87FFF6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778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2FF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安徽省教育厅单独或联合省直有关部门发文举办的其他重大赛事</w:t>
            </w:r>
          </w:p>
        </w:tc>
      </w:tr>
      <w:tr w:rsidR="001F2923" w:rsidRPr="00E22FFC" w14:paraId="1B309666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34E4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697D" w14:textId="77777777" w:rsidR="001F2923" w:rsidRPr="00E22FFC" w:rsidRDefault="001F2923" w:rsidP="00A8336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BCDF" w14:textId="77777777" w:rsidR="001F2923" w:rsidRPr="00E22FFC" w:rsidRDefault="001F2923" w:rsidP="00A83369">
            <w:pPr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400087FB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6834C" w14:textId="77777777" w:rsidR="001F2923" w:rsidRPr="00E22FFC" w:rsidRDefault="001F2923" w:rsidP="00A83369">
            <w:pPr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D5F3" w14:textId="77777777" w:rsidR="001F2923" w:rsidRPr="00E22FFC" w:rsidRDefault="001F2923" w:rsidP="00A8336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8EDC" w14:textId="77777777" w:rsidR="001F2923" w:rsidRPr="00E22FFC" w:rsidRDefault="001F2923" w:rsidP="00A83369">
            <w:pPr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1B2751AD" w14:textId="77777777" w:rsidTr="00A83369">
        <w:trPr>
          <w:trHeight w:val="270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D7DE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安徽省大学生学科和技能竞赛A、B类项目列表（2019年版）</w:t>
            </w:r>
          </w:p>
          <w:p w14:paraId="5683D8F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（体育、艺术类）</w:t>
            </w:r>
          </w:p>
        </w:tc>
      </w:tr>
      <w:tr w:rsidR="001F2923" w:rsidRPr="00E22FFC" w14:paraId="717329B4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51A6F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40430" w14:textId="77777777" w:rsidR="001F2923" w:rsidRPr="00E22FFC" w:rsidRDefault="001F2923" w:rsidP="00A8336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ACE8" w14:textId="77777777" w:rsidR="001F2923" w:rsidRPr="00E22FFC" w:rsidRDefault="001F2923" w:rsidP="00A8336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2368E020" w14:textId="77777777" w:rsidTr="00A83369">
        <w:trPr>
          <w:trHeight w:val="270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3CE0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A类赛事列表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FBA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4179E8C4" w14:textId="77777777" w:rsidTr="00A83369">
        <w:trPr>
          <w:trHeight w:val="43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EB8B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E4A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9424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</w:tr>
      <w:tr w:rsidR="001F2923" w:rsidRPr="00E22FFC" w14:paraId="7DB7A1C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02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FA8B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全国学生运动会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8B6C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教育部、国家体育总局、共青团中央</w:t>
            </w:r>
          </w:p>
        </w:tc>
      </w:tr>
      <w:tr w:rsidR="001F2923" w:rsidRPr="00E22FFC" w14:paraId="3E9104AB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638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4B5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安徽省运动会高校部比赛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116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安徽省政府</w:t>
            </w:r>
          </w:p>
        </w:tc>
      </w:tr>
      <w:tr w:rsidR="001F2923" w:rsidRPr="00E22FFC" w14:paraId="146F0530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7B4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0E73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全国大学生艺术展演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277F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</w:t>
            </w:r>
          </w:p>
        </w:tc>
      </w:tr>
      <w:tr w:rsidR="001F2923" w:rsidRPr="00E22FFC" w14:paraId="581F156D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6B1F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4A89" w14:textId="77777777" w:rsidR="001F2923" w:rsidRPr="00E22FFC" w:rsidRDefault="001F2923" w:rsidP="00A8336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93767" w14:textId="77777777" w:rsidR="001F2923" w:rsidRPr="00E22FFC" w:rsidRDefault="001F2923" w:rsidP="00A83369">
            <w:pPr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50E3C8F5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5DA7A" w14:textId="77777777" w:rsidR="001F2923" w:rsidRPr="00E22FFC" w:rsidRDefault="001F2923" w:rsidP="00A83369">
            <w:pPr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B5908" w14:textId="77777777" w:rsidR="001F2923" w:rsidRPr="00E22FFC" w:rsidRDefault="001F2923" w:rsidP="00A83369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35229" w14:textId="77777777" w:rsidR="001F2923" w:rsidRPr="00E22FFC" w:rsidRDefault="001F2923" w:rsidP="00A83369">
            <w:pPr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2C4BF7E2" w14:textId="77777777" w:rsidTr="00A83369">
        <w:trPr>
          <w:trHeight w:val="270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1459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B类赛事列表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3228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2923" w:rsidRPr="00E22FFC" w14:paraId="22C38F7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A4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1A3C6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A325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</w:tr>
      <w:tr w:rsidR="001F2923" w:rsidRPr="00E22FFC" w14:paraId="35780162" w14:textId="77777777" w:rsidTr="00A83369">
        <w:trPr>
          <w:trHeight w:val="54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BDF1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AE1A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安徽美术大展</w:t>
            </w:r>
            <w:r w:rsidRPr="00E22FF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•</w:t>
            </w:r>
            <w:r w:rsidRPr="00E22FFC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艺术设计展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5F65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安徽省文化厅、安徽省文学艺术界联合会、安徽省美术家协会</w:t>
            </w:r>
          </w:p>
        </w:tc>
      </w:tr>
      <w:tr w:rsidR="001F2923" w:rsidRPr="00E22FFC" w14:paraId="1DE74E47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2A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70DD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各类大学生体育比赛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DB57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教育部学生体育协会联合秘书处</w:t>
            </w:r>
          </w:p>
        </w:tc>
      </w:tr>
      <w:tr w:rsidR="001F2923" w:rsidRPr="00E22FFC" w14:paraId="36429FFA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E89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4851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各类大学生体育比赛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308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安徽省教育厅单独或联合省直有关部门</w:t>
            </w:r>
          </w:p>
        </w:tc>
      </w:tr>
      <w:tr w:rsidR="001F2923" w:rsidRPr="00E22FFC" w14:paraId="3BC098ED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ED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1457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各类大学生艺术展演、比赛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4890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安徽省教育厅单独或联合省直有关部门</w:t>
            </w:r>
          </w:p>
        </w:tc>
      </w:tr>
      <w:tr w:rsidR="001F2923" w:rsidRPr="00E22FFC" w14:paraId="5A97B630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830D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8A74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安徽省高校武术锦标赛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B39DE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安徽省教育厅、安徽省高等院校教师教育合作委员会</w:t>
            </w:r>
          </w:p>
        </w:tc>
      </w:tr>
      <w:tr w:rsidR="001F2923" w:rsidRPr="00E22FFC" w14:paraId="72D65178" w14:textId="77777777" w:rsidTr="00A83369">
        <w:trPr>
          <w:trHeight w:val="27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6A7" w14:textId="77777777" w:rsidR="001F2923" w:rsidRPr="00E22FFC" w:rsidRDefault="001F2923" w:rsidP="00A833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27C5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全国高校钢琴大赛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85C2" w14:textId="77777777" w:rsidR="001F2923" w:rsidRPr="00E22FFC" w:rsidRDefault="001F2923" w:rsidP="00A8336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中国高等教育学会</w:t>
            </w:r>
          </w:p>
        </w:tc>
      </w:tr>
    </w:tbl>
    <w:p w14:paraId="23005B50" w14:textId="77777777" w:rsidR="00944EEA" w:rsidRPr="00E22FFC" w:rsidRDefault="00944EEA" w:rsidP="001F2923">
      <w:pPr>
        <w:rPr>
          <w:rFonts w:ascii="仿宋" w:eastAsia="仿宋" w:hAnsi="仿宋"/>
        </w:rPr>
      </w:pPr>
    </w:p>
    <w:sectPr w:rsidR="00944EEA" w:rsidRPr="00E22FF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ACFA" w14:textId="77777777" w:rsidR="00D0263E" w:rsidRDefault="00D0263E" w:rsidP="00D0263E">
      <w:r>
        <w:separator/>
      </w:r>
    </w:p>
  </w:endnote>
  <w:endnote w:type="continuationSeparator" w:id="0">
    <w:p w14:paraId="5788D307" w14:textId="77777777" w:rsidR="00D0263E" w:rsidRDefault="00D0263E" w:rsidP="00D0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C322" w14:textId="77777777" w:rsidR="00D0263E" w:rsidRDefault="00D0263E" w:rsidP="00D0263E">
      <w:r>
        <w:separator/>
      </w:r>
    </w:p>
  </w:footnote>
  <w:footnote w:type="continuationSeparator" w:id="0">
    <w:p w14:paraId="4139DC99" w14:textId="77777777" w:rsidR="00D0263E" w:rsidRDefault="00D0263E" w:rsidP="00D0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23"/>
    <w:rsid w:val="00142BCD"/>
    <w:rsid w:val="001F2923"/>
    <w:rsid w:val="00944EEA"/>
    <w:rsid w:val="00D0263E"/>
    <w:rsid w:val="00E2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CA3141"/>
  <w15:chartTrackingRefBased/>
  <w15:docId w15:val="{2E2C580F-83B3-4766-AF54-2B4C8764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263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2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26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689</Words>
  <Characters>3931</Characters>
  <Application>Microsoft Office Word</Application>
  <DocSecurity>0</DocSecurity>
  <Lines>32</Lines>
  <Paragraphs>9</Paragraphs>
  <ScaleCrop>false</ScaleCrop>
  <Company>AHJZU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Mingchuan Ge</dc:creator>
  <cp:keywords/>
  <dc:description/>
  <cp:lastModifiedBy>蔡 弘</cp:lastModifiedBy>
  <cp:revision>4</cp:revision>
  <dcterms:created xsi:type="dcterms:W3CDTF">2022-05-23T09:51:00Z</dcterms:created>
  <dcterms:modified xsi:type="dcterms:W3CDTF">2022-11-03T12:52:00Z</dcterms:modified>
</cp:coreProperties>
</file>