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2447F">
      <w:pPr>
        <w:jc w:val="center"/>
        <w:rPr>
          <w:rFonts w:ascii="宋体" w:hAnsi="宋体" w:eastAsia="宋体"/>
          <w:b/>
          <w:sz w:val="44"/>
          <w:szCs w:val="44"/>
        </w:rPr>
      </w:pPr>
      <w:r>
        <w:rPr>
          <w:rFonts w:hint="eastAsia" w:ascii="宋体" w:hAnsi="宋体" w:eastAsia="宋体"/>
          <w:b/>
          <w:sz w:val="44"/>
          <w:szCs w:val="44"/>
        </w:rPr>
        <w:t>安徽建筑大学环境与能源工程学院</w:t>
      </w:r>
    </w:p>
    <w:p w14:paraId="705AB691">
      <w:pPr>
        <w:jc w:val="center"/>
        <w:rPr>
          <w:rFonts w:ascii="宋体" w:hAnsi="宋体" w:eastAsia="宋体"/>
          <w:b/>
          <w:sz w:val="44"/>
          <w:szCs w:val="44"/>
        </w:rPr>
      </w:pPr>
      <w:r>
        <w:rPr>
          <w:rFonts w:hint="eastAsia" w:ascii="宋体" w:hAnsi="宋体" w:eastAsia="宋体"/>
          <w:b/>
          <w:sz w:val="44"/>
          <w:szCs w:val="44"/>
        </w:rPr>
        <w:t>本科学生转专业实施细则</w:t>
      </w:r>
    </w:p>
    <w:p w14:paraId="631AD162">
      <w:pPr>
        <w:jc w:val="center"/>
        <w:rPr>
          <w:rFonts w:ascii="仿宋_GB2312" w:eastAsia="仿宋_GB2312"/>
          <w:sz w:val="32"/>
          <w:szCs w:val="32"/>
        </w:rPr>
      </w:pPr>
      <w:r>
        <w:rPr>
          <w:rFonts w:hint="eastAsia" w:ascii="仿宋_GB2312" w:eastAsia="仿宋_GB2312"/>
          <w:sz w:val="32"/>
          <w:szCs w:val="32"/>
        </w:rPr>
        <w:t>院函〔2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w:t>
      </w:r>
      <w:r>
        <w:rPr>
          <w:rFonts w:hint="eastAsia" w:ascii="仿宋_GB2312" w:eastAsia="仿宋_GB2312"/>
          <w:sz w:val="32"/>
          <w:szCs w:val="32"/>
          <w:lang w:val="en-US" w:eastAsia="zh-CN"/>
        </w:rPr>
        <w:t>15</w:t>
      </w:r>
      <w:r>
        <w:rPr>
          <w:rFonts w:hint="eastAsia" w:ascii="仿宋_GB2312" w:eastAsia="仿宋_GB2312"/>
          <w:sz w:val="32"/>
          <w:szCs w:val="32"/>
        </w:rPr>
        <w:t>号</w:t>
      </w:r>
    </w:p>
    <w:p w14:paraId="16DF8E6C">
      <w:pPr>
        <w:jc w:val="center"/>
      </w:pPr>
    </w:p>
    <w:p w14:paraId="19677557">
      <w:pPr>
        <w:spacing w:line="560" w:lineRule="exact"/>
        <w:ind w:firstLine="640" w:firstLineChars="200"/>
        <w:rPr>
          <w:rFonts w:ascii="仿宋_GB2312" w:eastAsia="仿宋_GB2312"/>
          <w:sz w:val="32"/>
          <w:szCs w:val="32"/>
        </w:rPr>
      </w:pPr>
      <w:r>
        <w:rPr>
          <w:rFonts w:hint="eastAsia" w:ascii="仿宋_GB2312" w:eastAsia="仿宋_GB2312"/>
          <w:sz w:val="32"/>
          <w:szCs w:val="32"/>
        </w:rPr>
        <w:t>根据《安徽建筑大学全日制普通本科学生转专业实施办法（试行）》（校字〔</w:t>
      </w:r>
      <w:r>
        <w:rPr>
          <w:rFonts w:ascii="仿宋_GB2312" w:eastAsia="仿宋_GB2312"/>
          <w:sz w:val="32"/>
          <w:szCs w:val="32"/>
        </w:rPr>
        <w:t>2024〕46号）</w:t>
      </w:r>
      <w:r>
        <w:rPr>
          <w:rFonts w:hint="eastAsia" w:ascii="仿宋_GB2312" w:eastAsia="仿宋_GB2312"/>
          <w:sz w:val="32"/>
          <w:szCs w:val="32"/>
        </w:rPr>
        <w:t>文件精神，为规范本科学生转专业工作，结合学院办学实际，制定本实施细则。</w:t>
      </w:r>
    </w:p>
    <w:p w14:paraId="310D559C">
      <w:pPr>
        <w:spacing w:line="560" w:lineRule="exact"/>
        <w:ind w:firstLine="640" w:firstLineChars="200"/>
        <w:rPr>
          <w:rFonts w:ascii="黑体" w:hAnsi="黑体" w:eastAsia="黑体"/>
          <w:sz w:val="32"/>
          <w:szCs w:val="32"/>
        </w:rPr>
      </w:pPr>
      <w:r>
        <w:rPr>
          <w:rFonts w:hint="eastAsia" w:ascii="黑体" w:hAnsi="黑体" w:eastAsia="黑体"/>
          <w:sz w:val="32"/>
          <w:szCs w:val="32"/>
        </w:rPr>
        <w:t>一、组织领导</w:t>
      </w:r>
    </w:p>
    <w:p w14:paraId="679A14B1">
      <w:pPr>
        <w:spacing w:line="560" w:lineRule="exact"/>
        <w:ind w:firstLine="640" w:firstLineChars="200"/>
        <w:rPr>
          <w:rFonts w:ascii="仿宋_GB2312" w:eastAsia="仿宋_GB2312"/>
          <w:sz w:val="32"/>
          <w:szCs w:val="32"/>
        </w:rPr>
      </w:pPr>
      <w:r>
        <w:rPr>
          <w:rFonts w:hint="eastAsia" w:ascii="仿宋_GB2312" w:eastAsia="仿宋_GB2312"/>
          <w:sz w:val="32"/>
          <w:szCs w:val="32"/>
        </w:rPr>
        <w:t>学院成立学生转专业工作组</w:t>
      </w:r>
      <w:r>
        <w:rPr>
          <w:rFonts w:hint="eastAsia" w:ascii="仿宋_GB2312" w:eastAsia="仿宋_GB2312"/>
          <w:sz w:val="32"/>
          <w:szCs w:val="32"/>
          <w:lang w:eastAsia="zh-CN"/>
        </w:rPr>
        <w:t>，</w:t>
      </w:r>
      <w:r>
        <w:rPr>
          <w:rFonts w:hint="eastAsia" w:ascii="仿宋_GB2312" w:eastAsia="仿宋_GB2312"/>
          <w:sz w:val="32"/>
          <w:szCs w:val="32"/>
        </w:rPr>
        <w:t>学院党政负责人担任组长，分管教学、学生、纪检监察工作负责人担任副组长，成员由学院相关领导、教学办、学工办、基层教学组织和相关专业负责人等组成，具体负责本学院转专业工作的组织实施。</w:t>
      </w:r>
    </w:p>
    <w:p w14:paraId="1D18AE08">
      <w:pPr>
        <w:spacing w:line="560" w:lineRule="exact"/>
        <w:ind w:firstLine="640" w:firstLineChars="200"/>
        <w:rPr>
          <w:rFonts w:ascii="黑体" w:hAnsi="黑体" w:eastAsia="黑体"/>
          <w:sz w:val="32"/>
          <w:szCs w:val="32"/>
        </w:rPr>
      </w:pPr>
      <w:r>
        <w:rPr>
          <w:rFonts w:hint="eastAsia" w:ascii="黑体" w:hAnsi="黑体" w:eastAsia="黑体"/>
          <w:sz w:val="32"/>
          <w:szCs w:val="32"/>
        </w:rPr>
        <w:t>二、申请条件</w:t>
      </w:r>
    </w:p>
    <w:p w14:paraId="56D939AE">
      <w:pPr>
        <w:spacing w:line="560" w:lineRule="exact"/>
        <w:ind w:firstLine="640" w:firstLineChars="200"/>
        <w:rPr>
          <w:rFonts w:ascii="仿宋_GB2312" w:eastAsia="仿宋_GB2312"/>
          <w:sz w:val="32"/>
          <w:szCs w:val="32"/>
        </w:rPr>
      </w:pPr>
      <w:r>
        <w:rPr>
          <w:rFonts w:hint="eastAsia" w:ascii="仿宋_GB2312" w:eastAsia="仿宋_GB2312"/>
          <w:sz w:val="32"/>
          <w:szCs w:val="32"/>
        </w:rPr>
        <w:t>（一）本科学生申请转专业，需符合校字〔</w:t>
      </w:r>
      <w:r>
        <w:rPr>
          <w:rFonts w:ascii="仿宋_GB2312" w:eastAsia="仿宋_GB2312"/>
          <w:sz w:val="32"/>
          <w:szCs w:val="32"/>
        </w:rPr>
        <w:t>2024〕46号</w:t>
      </w:r>
      <w:r>
        <w:rPr>
          <w:rFonts w:hint="eastAsia" w:ascii="仿宋_GB2312" w:eastAsia="仿宋_GB2312"/>
          <w:sz w:val="32"/>
          <w:szCs w:val="32"/>
        </w:rPr>
        <w:t>规定的基本原则。</w:t>
      </w:r>
    </w:p>
    <w:p w14:paraId="66869AB4">
      <w:pPr>
        <w:spacing w:line="560" w:lineRule="exact"/>
        <w:ind w:firstLine="640" w:firstLineChars="200"/>
        <w:rPr>
          <w:rFonts w:ascii="仿宋_GB2312" w:eastAsia="仿宋_GB2312"/>
          <w:sz w:val="32"/>
          <w:szCs w:val="32"/>
        </w:rPr>
      </w:pPr>
      <w:r>
        <w:rPr>
          <w:rFonts w:hint="eastAsia" w:ascii="仿宋_GB2312" w:eastAsia="仿宋_GB2312"/>
          <w:sz w:val="32"/>
          <w:szCs w:val="32"/>
        </w:rPr>
        <w:t>（二）一年级新生可于第一学期末申请在全校范围内转专业，二年级学生可于第三学期末申请在学院内转专业。</w:t>
      </w:r>
    </w:p>
    <w:p w14:paraId="54E9EB11">
      <w:pPr>
        <w:spacing w:line="560" w:lineRule="exact"/>
        <w:ind w:firstLine="640" w:firstLineChars="200"/>
        <w:rPr>
          <w:rFonts w:ascii="仿宋_GB2312" w:eastAsia="仿宋_GB2312"/>
          <w:sz w:val="32"/>
          <w:szCs w:val="32"/>
        </w:rPr>
      </w:pPr>
      <w:r>
        <w:rPr>
          <w:rFonts w:hint="eastAsia" w:ascii="仿宋_GB2312" w:eastAsia="仿宋_GB2312"/>
          <w:sz w:val="32"/>
          <w:szCs w:val="32"/>
        </w:rPr>
        <w:t>（三）符合学校规定的特殊情况，可单独申请转专业，申请条件及程序按校字〔</w:t>
      </w:r>
      <w:r>
        <w:rPr>
          <w:rFonts w:ascii="仿宋_GB2312" w:eastAsia="仿宋_GB2312"/>
          <w:sz w:val="32"/>
          <w:szCs w:val="32"/>
        </w:rPr>
        <w:t>2024〕46号</w:t>
      </w:r>
      <w:r>
        <w:rPr>
          <w:rFonts w:hint="eastAsia" w:ascii="仿宋_GB2312" w:eastAsia="仿宋_GB2312"/>
          <w:sz w:val="32"/>
          <w:szCs w:val="32"/>
        </w:rPr>
        <w:t>有关规定执行。</w:t>
      </w:r>
    </w:p>
    <w:p w14:paraId="2CEBD8CC">
      <w:pPr>
        <w:spacing w:line="560" w:lineRule="exact"/>
        <w:ind w:firstLine="640" w:firstLineChars="200"/>
        <w:rPr>
          <w:rFonts w:ascii="黑体" w:hAnsi="黑体" w:eastAsia="黑体"/>
          <w:sz w:val="32"/>
          <w:szCs w:val="32"/>
        </w:rPr>
      </w:pPr>
      <w:r>
        <w:rPr>
          <w:rFonts w:hint="eastAsia" w:ascii="黑体" w:hAnsi="黑体" w:eastAsia="黑体"/>
          <w:sz w:val="32"/>
          <w:szCs w:val="32"/>
        </w:rPr>
        <w:t>三、计划人数</w:t>
      </w:r>
    </w:p>
    <w:p w14:paraId="6EE8D9FB">
      <w:pPr>
        <w:spacing w:line="560" w:lineRule="exact"/>
        <w:ind w:firstLine="640" w:firstLineChars="200"/>
        <w:rPr>
          <w:rFonts w:ascii="仿宋_GB2312" w:eastAsia="仿宋_GB2312"/>
          <w:sz w:val="32"/>
          <w:szCs w:val="32"/>
        </w:rPr>
      </w:pPr>
      <w:r>
        <w:rPr>
          <w:rFonts w:ascii="仿宋_GB2312" w:eastAsia="仿宋_GB2312"/>
          <w:sz w:val="32"/>
          <w:szCs w:val="32"/>
        </w:rPr>
        <w:t>各专业转入</w:t>
      </w:r>
      <w:r>
        <w:rPr>
          <w:rFonts w:hint="eastAsia" w:ascii="仿宋_GB2312" w:eastAsia="仿宋_GB2312"/>
          <w:sz w:val="32"/>
          <w:szCs w:val="32"/>
        </w:rPr>
        <w:t>计划</w:t>
      </w:r>
      <w:r>
        <w:rPr>
          <w:rFonts w:ascii="仿宋_GB2312" w:eastAsia="仿宋_GB2312"/>
          <w:sz w:val="32"/>
          <w:szCs w:val="32"/>
        </w:rPr>
        <w:t>人数</w:t>
      </w:r>
      <w:r>
        <w:rPr>
          <w:rFonts w:hint="eastAsia" w:ascii="仿宋_GB2312" w:eastAsia="仿宋_GB2312"/>
          <w:sz w:val="32"/>
          <w:szCs w:val="32"/>
        </w:rPr>
        <w:t>，</w:t>
      </w:r>
      <w:r>
        <w:rPr>
          <w:rFonts w:ascii="仿宋_GB2312" w:eastAsia="仿宋_GB2312"/>
          <w:sz w:val="32"/>
          <w:szCs w:val="32"/>
        </w:rPr>
        <w:t>原则上累计不超过专业新生入学人数的30%（特殊情况转入人数不计）。</w:t>
      </w:r>
      <w:r>
        <w:rPr>
          <w:rFonts w:hint="eastAsia" w:ascii="仿宋_GB2312" w:eastAsia="仿宋_GB2312"/>
          <w:sz w:val="32"/>
          <w:szCs w:val="32"/>
        </w:rPr>
        <w:t>具体由学院结合培养条件等予以编制，报学校批准后公布。</w:t>
      </w:r>
    </w:p>
    <w:p w14:paraId="75FF6426">
      <w:pPr>
        <w:spacing w:line="560" w:lineRule="exact"/>
        <w:ind w:firstLine="640" w:firstLineChars="200"/>
        <w:rPr>
          <w:rFonts w:ascii="黑体" w:hAnsi="黑体" w:eastAsia="黑体"/>
          <w:sz w:val="32"/>
          <w:szCs w:val="32"/>
        </w:rPr>
      </w:pPr>
      <w:r>
        <w:rPr>
          <w:rFonts w:hint="eastAsia" w:ascii="黑体" w:hAnsi="黑体" w:eastAsia="黑体"/>
          <w:sz w:val="32"/>
          <w:szCs w:val="32"/>
        </w:rPr>
        <w:t>四、考核</w:t>
      </w:r>
    </w:p>
    <w:p w14:paraId="61B1EA48">
      <w:pPr>
        <w:spacing w:line="560" w:lineRule="exact"/>
        <w:ind w:firstLine="640" w:firstLineChars="200"/>
        <w:rPr>
          <w:rFonts w:ascii="仿宋_GB2312" w:eastAsia="仿宋_GB2312"/>
          <w:sz w:val="32"/>
          <w:szCs w:val="32"/>
        </w:rPr>
      </w:pPr>
      <w:r>
        <w:rPr>
          <w:rFonts w:hint="eastAsia" w:ascii="仿宋_GB2312" w:eastAsia="仿宋_GB2312"/>
          <w:sz w:val="32"/>
          <w:szCs w:val="32"/>
        </w:rPr>
        <w:t>（一）一年级全校范围内转专业</w:t>
      </w:r>
    </w:p>
    <w:p w14:paraId="0175BC54">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考核程序</w:t>
      </w:r>
    </w:p>
    <w:p w14:paraId="1CC692C6">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学生在学校规定的转专业时间内，根据学校要求提交转专业申请相关材料，并依照下列流程办理：</w:t>
      </w:r>
    </w:p>
    <w:p w14:paraId="08F96883">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（1）学生向学校提交转专业申请、转出学院盖章的课程成绩表、高考物理类证明；</w:t>
      </w:r>
    </w:p>
    <w:p w14:paraId="15C24675">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（2）学院对申请转入学生进行资格审查；</w:t>
      </w:r>
    </w:p>
    <w:p w14:paraId="5915A33C">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（3）学院对通过资格审查的学生进行考核、排序；</w:t>
      </w:r>
    </w:p>
    <w:p w14:paraId="3AD917CA">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资格审查</w:t>
      </w:r>
    </w:p>
    <w:p w14:paraId="35727341">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学院对申请转入学生进行资格审查,原则上须达到如下要求可通过资格审查：</w:t>
      </w:r>
    </w:p>
    <w:p w14:paraId="02BC5A69">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（1）符合学校转专业文件要求；</w:t>
      </w:r>
    </w:p>
    <w:p w14:paraId="072803DD">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（2）高考是物理类考生；</w:t>
      </w:r>
    </w:p>
    <w:p w14:paraId="5AD375E1">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（3）已经按正常进度修读了英语和高等数学课程（具体见表1）；</w:t>
      </w:r>
    </w:p>
    <w:p w14:paraId="7D5E277B">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（4）遵纪守法，能服从学校、学院各项管理规定。</w:t>
      </w:r>
    </w:p>
    <w:p w14:paraId="201D855C">
      <w:pPr>
        <w:jc w:val="center"/>
        <w:rPr>
          <w:b/>
        </w:rPr>
      </w:pPr>
      <w:r>
        <w:rPr>
          <w:rFonts w:hint="eastAsia"/>
          <w:b/>
        </w:rPr>
        <w:t>表1</w:t>
      </w:r>
      <w:r>
        <w:rPr>
          <w:b/>
        </w:rPr>
        <w:t xml:space="preserve">  </w:t>
      </w:r>
      <w:r>
        <w:rPr>
          <w:rFonts w:hint="eastAsia"/>
          <w:b/>
        </w:rPr>
        <w:t>英语和高等数学课程修读要求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3D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791CEA6">
            <w:pPr>
              <w:spacing w:after="160" w:line="278" w:lineRule="auto"/>
              <w:jc w:val="center"/>
              <w:rPr>
                <w:rFonts w:asciiTheme="minorEastAsia" w:hAnsiTheme="minorEastAsia"/>
                <w:b/>
                <w:sz w:val="18"/>
                <w:szCs w:val="32"/>
                <w14:ligatures w14:val="standardContextual"/>
              </w:rPr>
            </w:pPr>
            <w:r>
              <w:rPr>
                <w:rFonts w:hint="eastAsia" w:asciiTheme="minorEastAsia" w:hAnsiTheme="minorEastAsia"/>
                <w:b/>
                <w:sz w:val="18"/>
                <w:szCs w:val="32"/>
                <w14:ligatures w14:val="standardContextual"/>
              </w:rPr>
              <w:t>转专业轮次</w:t>
            </w:r>
          </w:p>
        </w:tc>
        <w:tc>
          <w:tcPr>
            <w:tcW w:w="2130" w:type="dxa"/>
            <w:vAlign w:val="center"/>
          </w:tcPr>
          <w:p w14:paraId="1FB180F0">
            <w:pPr>
              <w:spacing w:after="160" w:line="278" w:lineRule="auto"/>
              <w:jc w:val="center"/>
              <w:rPr>
                <w:rFonts w:asciiTheme="minorEastAsia" w:hAnsiTheme="minorEastAsia"/>
                <w:b/>
                <w:sz w:val="18"/>
                <w:szCs w:val="32"/>
                <w14:ligatures w14:val="standardContextual"/>
              </w:rPr>
            </w:pPr>
            <w:r>
              <w:rPr>
                <w:rFonts w:hint="eastAsia" w:asciiTheme="minorEastAsia" w:hAnsiTheme="minorEastAsia"/>
                <w:b/>
                <w:sz w:val="18"/>
                <w:szCs w:val="32"/>
                <w14:ligatures w14:val="standardContextual"/>
              </w:rPr>
              <w:t>英语修读要求</w:t>
            </w:r>
          </w:p>
        </w:tc>
        <w:tc>
          <w:tcPr>
            <w:tcW w:w="2131" w:type="dxa"/>
            <w:vAlign w:val="center"/>
          </w:tcPr>
          <w:p w14:paraId="77AC275D">
            <w:pPr>
              <w:spacing w:after="160" w:line="278" w:lineRule="auto"/>
              <w:jc w:val="center"/>
              <w:rPr>
                <w:rFonts w:asciiTheme="minorEastAsia" w:hAnsiTheme="minorEastAsia"/>
                <w:b/>
                <w:sz w:val="18"/>
                <w:szCs w:val="32"/>
                <w14:ligatures w14:val="standardContextual"/>
              </w:rPr>
            </w:pPr>
            <w:r>
              <w:rPr>
                <w:rFonts w:hint="eastAsia" w:asciiTheme="minorEastAsia" w:hAnsiTheme="minorEastAsia"/>
                <w:b/>
                <w:sz w:val="18"/>
                <w:szCs w:val="32"/>
                <w14:ligatures w14:val="standardContextual"/>
              </w:rPr>
              <w:t>高等数学修读要求</w:t>
            </w:r>
          </w:p>
        </w:tc>
        <w:tc>
          <w:tcPr>
            <w:tcW w:w="2131" w:type="dxa"/>
            <w:vAlign w:val="center"/>
          </w:tcPr>
          <w:p w14:paraId="226F131F">
            <w:pPr>
              <w:spacing w:after="160" w:line="278" w:lineRule="auto"/>
              <w:jc w:val="center"/>
              <w:rPr>
                <w:rFonts w:asciiTheme="minorEastAsia" w:hAnsiTheme="minorEastAsia"/>
                <w:b/>
                <w:sz w:val="18"/>
                <w:szCs w:val="32"/>
                <w14:ligatures w14:val="standardContextual"/>
              </w:rPr>
            </w:pPr>
            <w:r>
              <w:rPr>
                <w:rFonts w:hint="eastAsia" w:asciiTheme="minorEastAsia" w:hAnsiTheme="minorEastAsia"/>
                <w:b/>
                <w:sz w:val="18"/>
                <w:szCs w:val="32"/>
                <w14:ligatures w14:val="standardContextual"/>
              </w:rPr>
              <w:t>备注</w:t>
            </w:r>
          </w:p>
        </w:tc>
      </w:tr>
      <w:tr w14:paraId="71AA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EE4D7BE">
            <w:pPr>
              <w:spacing w:after="160" w:line="278" w:lineRule="auto"/>
              <w:rPr>
                <w:rFonts w:asciiTheme="minorEastAsia" w:hAnsiTheme="minorEastAsia"/>
                <w:b/>
                <w:sz w:val="18"/>
                <w:szCs w:val="32"/>
                <w14:ligatures w14:val="standardContextual"/>
              </w:rPr>
            </w:pPr>
            <w:r>
              <w:rPr>
                <w:rFonts w:hint="eastAsia" w:asciiTheme="minorEastAsia" w:hAnsiTheme="minorEastAsia"/>
                <w:b/>
                <w:sz w:val="18"/>
                <w:szCs w:val="32"/>
                <w14:ligatures w14:val="standardContextual"/>
              </w:rPr>
              <w:t>大一校内转专业</w:t>
            </w:r>
          </w:p>
        </w:tc>
        <w:tc>
          <w:tcPr>
            <w:tcW w:w="2130" w:type="dxa"/>
          </w:tcPr>
          <w:p w14:paraId="6C355908">
            <w:pPr>
              <w:spacing w:after="160" w:line="278" w:lineRule="auto"/>
              <w:rPr>
                <w:rFonts w:asciiTheme="minorEastAsia" w:hAnsiTheme="minorEastAsia"/>
                <w:sz w:val="18"/>
                <w:szCs w:val="32"/>
                <w14:ligatures w14:val="standardContextual"/>
              </w:rPr>
            </w:pPr>
            <w:r>
              <w:rPr>
                <w:rFonts w:hint="eastAsia" w:asciiTheme="minorEastAsia" w:hAnsiTheme="minorEastAsia"/>
                <w:sz w:val="18"/>
                <w:szCs w:val="32"/>
                <w14:ligatures w14:val="standardContextual"/>
              </w:rPr>
              <w:t>大学英语读写译1、大学英语视听说（自主学习）1</w:t>
            </w:r>
          </w:p>
          <w:p w14:paraId="55A56CE9">
            <w:pPr>
              <w:spacing w:after="160" w:line="278" w:lineRule="auto"/>
              <w:rPr>
                <w:rFonts w:asciiTheme="minorEastAsia" w:hAnsiTheme="minorEastAsia"/>
                <w:sz w:val="18"/>
                <w:szCs w:val="32"/>
                <w14:ligatures w14:val="standardContextual"/>
              </w:rPr>
            </w:pPr>
            <w:r>
              <w:rPr>
                <w:rFonts w:hint="eastAsia" w:asciiTheme="minorEastAsia" w:hAnsiTheme="minorEastAsia"/>
                <w:sz w:val="18"/>
                <w:szCs w:val="32"/>
                <w14:ligatures w14:val="standardContextual"/>
              </w:rPr>
              <w:t>或</w:t>
            </w:r>
          </w:p>
          <w:p w14:paraId="464FFACA">
            <w:pPr>
              <w:pStyle w:val="16"/>
              <w:jc w:val="both"/>
              <w:rPr>
                <w:rFonts w:asciiTheme="minorEastAsia" w:hAnsiTheme="minorEastAsia" w:eastAsiaTheme="minorEastAsia"/>
                <w:color w:val="auto"/>
                <w:kern w:val="2"/>
                <w:sz w:val="18"/>
                <w:szCs w:val="32"/>
                <w14:ligatures w14:val="standardContextual"/>
              </w:rPr>
            </w:pPr>
            <w:r>
              <w:rPr>
                <w:rFonts w:hint="eastAsia" w:asciiTheme="minorEastAsia" w:hAnsiTheme="minorEastAsia" w:eastAsiaTheme="minorEastAsia" w:cstheme="minorBidi"/>
                <w:color w:val="auto"/>
                <w:kern w:val="2"/>
                <w:sz w:val="18"/>
                <w:szCs w:val="32"/>
                <w14:ligatures w14:val="standardContextual"/>
              </w:rPr>
              <w:t>综合英语</w:t>
            </w:r>
            <w:r>
              <w:rPr>
                <w:rFonts w:asciiTheme="minorEastAsia" w:hAnsiTheme="minorEastAsia" w:eastAsiaTheme="minorEastAsia" w:cstheme="minorBidi"/>
                <w:color w:val="auto"/>
                <w:kern w:val="2"/>
                <w:sz w:val="18"/>
                <w:szCs w:val="32"/>
                <w14:ligatures w14:val="standardContextual"/>
              </w:rPr>
              <w:t>A1</w:t>
            </w:r>
            <w:r>
              <w:rPr>
                <w:rFonts w:hint="eastAsia" w:asciiTheme="minorEastAsia" w:hAnsiTheme="minorEastAsia" w:eastAsiaTheme="minorEastAsia" w:cstheme="minorBidi"/>
                <w:color w:val="auto"/>
                <w:kern w:val="2"/>
                <w:sz w:val="18"/>
                <w:szCs w:val="32"/>
                <w14:ligatures w14:val="standardContextual"/>
              </w:rPr>
              <w:t>、</w:t>
            </w:r>
            <w:r>
              <w:rPr>
                <w:rFonts w:hint="eastAsia" w:asciiTheme="minorEastAsia" w:hAnsiTheme="minorEastAsia" w:eastAsiaTheme="minorEastAsia"/>
                <w:color w:val="auto"/>
                <w:kern w:val="2"/>
                <w:sz w:val="18"/>
                <w:szCs w:val="32"/>
                <w14:ligatures w14:val="standardContextual"/>
              </w:rPr>
              <w:t>英语视听说1</w:t>
            </w:r>
          </w:p>
        </w:tc>
        <w:tc>
          <w:tcPr>
            <w:tcW w:w="2131" w:type="dxa"/>
          </w:tcPr>
          <w:p w14:paraId="0554F08D">
            <w:pPr>
              <w:spacing w:after="160" w:line="278" w:lineRule="auto"/>
              <w:rPr>
                <w:rFonts w:asciiTheme="minorEastAsia" w:hAnsiTheme="minorEastAsia"/>
                <w:sz w:val="18"/>
                <w:szCs w:val="32"/>
                <w14:ligatures w14:val="standardContextual"/>
              </w:rPr>
            </w:pPr>
            <w:r>
              <w:rPr>
                <w:rFonts w:hint="eastAsia" w:asciiTheme="minorEastAsia" w:hAnsiTheme="minorEastAsia"/>
                <w:sz w:val="18"/>
                <w:szCs w:val="32"/>
                <w14:ligatures w14:val="standardContextual"/>
              </w:rPr>
              <w:t>高等数学A1</w:t>
            </w:r>
            <w:r>
              <w:rPr>
                <w:rFonts w:asciiTheme="minorEastAsia" w:hAnsiTheme="minorEastAsia"/>
                <w:sz w:val="18"/>
                <w:szCs w:val="32"/>
                <w14:ligatures w14:val="standardContextual"/>
              </w:rPr>
              <w:t xml:space="preserve"> </w:t>
            </w:r>
            <w:r>
              <w:rPr>
                <w:rFonts w:hint="eastAsia" w:asciiTheme="minorEastAsia" w:hAnsiTheme="minorEastAsia"/>
                <w:sz w:val="18"/>
                <w:szCs w:val="32"/>
                <w14:ligatures w14:val="standardContextual"/>
              </w:rPr>
              <w:t>或高等数学B</w:t>
            </w:r>
            <w:r>
              <w:rPr>
                <w:rFonts w:asciiTheme="minorEastAsia" w:hAnsiTheme="minorEastAsia"/>
                <w:sz w:val="18"/>
                <w:szCs w:val="32"/>
                <w14:ligatures w14:val="standardContextual"/>
              </w:rPr>
              <w:t xml:space="preserve"> </w:t>
            </w:r>
            <w:r>
              <w:rPr>
                <w:rFonts w:hint="eastAsia" w:asciiTheme="minorEastAsia" w:hAnsiTheme="minorEastAsia"/>
                <w:sz w:val="18"/>
                <w:szCs w:val="32"/>
                <w14:ligatures w14:val="standardContextual"/>
              </w:rPr>
              <w:t>或 数学分析1</w:t>
            </w:r>
          </w:p>
        </w:tc>
        <w:tc>
          <w:tcPr>
            <w:tcW w:w="2131" w:type="dxa"/>
          </w:tcPr>
          <w:p w14:paraId="269D0A8B">
            <w:pPr>
              <w:spacing w:after="160" w:line="278" w:lineRule="auto"/>
              <w:rPr>
                <w:rFonts w:asciiTheme="minorEastAsia" w:hAnsiTheme="minorEastAsia"/>
                <w:sz w:val="18"/>
                <w:szCs w:val="32"/>
                <w14:ligatures w14:val="standardContextual"/>
              </w:rPr>
            </w:pPr>
            <w:r>
              <w:rPr>
                <w:rFonts w:hint="eastAsia" w:asciiTheme="minorEastAsia" w:hAnsiTheme="minorEastAsia"/>
                <w:sz w:val="18"/>
                <w:szCs w:val="32"/>
                <w14:ligatures w14:val="standardContextual"/>
              </w:rPr>
              <w:t>根据</w:t>
            </w:r>
            <w:r>
              <w:rPr>
                <w:rFonts w:hint="eastAsia" w:asciiTheme="minorEastAsia" w:hAnsiTheme="minorEastAsia"/>
                <w:color w:val="auto"/>
                <w:sz w:val="18"/>
                <w:szCs w:val="32"/>
                <w:lang w:val="en-US" w:eastAsia="zh-CN"/>
                <w14:ligatures w14:val="standardContextual"/>
              </w:rPr>
              <w:t>2025</w:t>
            </w:r>
            <w:r>
              <w:rPr>
                <w:rFonts w:hint="eastAsia" w:asciiTheme="minorEastAsia" w:hAnsiTheme="minorEastAsia"/>
                <w:sz w:val="18"/>
                <w:szCs w:val="32"/>
                <w14:ligatures w14:val="standardContextual"/>
              </w:rPr>
              <w:t>版培养方案，不学高数</w:t>
            </w:r>
            <w:r>
              <w:rPr>
                <w:rFonts w:hint="eastAsia" w:asciiTheme="minorEastAsia" w:hAnsiTheme="minorEastAsia"/>
                <w:sz w:val="18"/>
                <w:szCs w:val="32"/>
                <w:lang w:val="en-US" w:eastAsia="zh-CN"/>
                <w14:ligatures w14:val="standardContextual"/>
              </w:rPr>
              <w:t>的</w:t>
            </w:r>
            <w:r>
              <w:rPr>
                <w:rFonts w:hint="eastAsia" w:asciiTheme="minorEastAsia" w:hAnsiTheme="minorEastAsia"/>
                <w:sz w:val="18"/>
                <w:szCs w:val="32"/>
                <w14:ligatures w14:val="standardContextual"/>
              </w:rPr>
              <w:t>专业同学如需转专业，须在第一学期自行选修高等数学。</w:t>
            </w:r>
          </w:p>
        </w:tc>
      </w:tr>
      <w:tr w14:paraId="632C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D96A7E4">
            <w:pPr>
              <w:spacing w:after="160" w:line="278" w:lineRule="auto"/>
              <w:rPr>
                <w:rFonts w:asciiTheme="minorEastAsia" w:hAnsiTheme="minorEastAsia"/>
                <w:b/>
                <w:sz w:val="18"/>
                <w:szCs w:val="32"/>
                <w14:ligatures w14:val="standardContextual"/>
              </w:rPr>
            </w:pPr>
            <w:r>
              <w:rPr>
                <w:rFonts w:hint="eastAsia" w:asciiTheme="minorEastAsia" w:hAnsiTheme="minorEastAsia"/>
                <w:b/>
                <w:sz w:val="18"/>
                <w:szCs w:val="32"/>
                <w14:ligatures w14:val="standardContextual"/>
              </w:rPr>
              <w:t>大二院内转专业</w:t>
            </w:r>
          </w:p>
        </w:tc>
        <w:tc>
          <w:tcPr>
            <w:tcW w:w="2130" w:type="dxa"/>
          </w:tcPr>
          <w:p w14:paraId="07B39AFE">
            <w:pPr>
              <w:spacing w:after="160" w:line="278" w:lineRule="auto"/>
              <w:rPr>
                <w:rFonts w:asciiTheme="minorEastAsia" w:hAnsiTheme="minorEastAsia"/>
                <w:sz w:val="18"/>
                <w:szCs w:val="32"/>
                <w14:ligatures w14:val="standardContextual"/>
              </w:rPr>
            </w:pPr>
            <w:r>
              <w:rPr>
                <w:rFonts w:hint="eastAsia" w:asciiTheme="minorEastAsia" w:hAnsiTheme="minorEastAsia"/>
                <w:sz w:val="18"/>
                <w:szCs w:val="32"/>
                <w14:ligatures w14:val="standardContextual"/>
              </w:rPr>
              <w:t>大学英语读写译1、大学英语视听说（自主学习）1、大学英语读写译２、大学英语视听说（自主学习）２</w:t>
            </w:r>
            <w:r>
              <w:rPr>
                <w:rFonts w:hint="eastAsia" w:asciiTheme="minorEastAsia" w:hAnsiTheme="minorEastAsia"/>
                <w:sz w:val="18"/>
                <w:szCs w:val="32"/>
                <w:lang w:eastAsia="zh-CN"/>
                <w14:ligatures w14:val="standardContextual"/>
              </w:rPr>
              <w:t>，</w:t>
            </w:r>
            <w:r>
              <w:rPr>
                <w:rFonts w:hint="eastAsia" w:asciiTheme="minorEastAsia" w:hAnsiTheme="minorEastAsia"/>
                <w:sz w:val="18"/>
                <w:szCs w:val="32"/>
                <w:lang w:val="en-US" w:eastAsia="zh-CN"/>
                <w14:ligatures w14:val="standardContextual"/>
              </w:rPr>
              <w:t>或者高阶英语课程</w:t>
            </w:r>
            <w:bookmarkStart w:id="0" w:name="_GoBack"/>
            <w:bookmarkEnd w:id="0"/>
            <w:r>
              <w:rPr>
                <w:rFonts w:hint="eastAsia" w:asciiTheme="minorEastAsia" w:hAnsiTheme="minorEastAsia"/>
                <w:sz w:val="18"/>
                <w:szCs w:val="32"/>
                <w14:ligatures w14:val="standardContextual"/>
              </w:rPr>
              <w:t>；</w:t>
            </w:r>
          </w:p>
          <w:p w14:paraId="104DA87D">
            <w:pPr>
              <w:spacing w:after="160" w:line="278" w:lineRule="auto"/>
              <w:rPr>
                <w:rFonts w:asciiTheme="minorEastAsia" w:hAnsiTheme="minorEastAsia"/>
                <w:sz w:val="18"/>
                <w:szCs w:val="32"/>
                <w14:ligatures w14:val="standardContextual"/>
              </w:rPr>
            </w:pPr>
            <w:r>
              <w:rPr>
                <w:rFonts w:hint="eastAsia" w:asciiTheme="minorEastAsia" w:hAnsiTheme="minorEastAsia"/>
                <w:sz w:val="18"/>
                <w:szCs w:val="32"/>
                <w14:ligatures w14:val="standardContextual"/>
              </w:rPr>
              <w:t>大学英语读写译３、大学英语视听说（自主学习）３，或者 高阶英语课程</w:t>
            </w:r>
          </w:p>
        </w:tc>
        <w:tc>
          <w:tcPr>
            <w:tcW w:w="2131" w:type="dxa"/>
          </w:tcPr>
          <w:p w14:paraId="0E458F51">
            <w:pPr>
              <w:spacing w:after="160" w:line="278" w:lineRule="auto"/>
              <w:rPr>
                <w:rFonts w:asciiTheme="minorEastAsia" w:hAnsiTheme="minorEastAsia"/>
                <w:sz w:val="18"/>
                <w:szCs w:val="32"/>
                <w14:ligatures w14:val="standardContextual"/>
              </w:rPr>
            </w:pPr>
            <w:r>
              <w:rPr>
                <w:rFonts w:hint="eastAsia" w:asciiTheme="minorEastAsia" w:hAnsiTheme="minorEastAsia"/>
                <w:sz w:val="18"/>
                <w:szCs w:val="32"/>
                <w14:ligatures w14:val="standardContextual"/>
              </w:rPr>
              <w:t>高等数学A1、高等数学A２</w:t>
            </w:r>
          </w:p>
        </w:tc>
        <w:tc>
          <w:tcPr>
            <w:tcW w:w="2131" w:type="dxa"/>
          </w:tcPr>
          <w:p w14:paraId="1D97C9FB">
            <w:pPr>
              <w:spacing w:after="160" w:line="278" w:lineRule="auto"/>
              <w:rPr>
                <w:rFonts w:asciiTheme="minorEastAsia" w:hAnsiTheme="minorEastAsia"/>
                <w:sz w:val="18"/>
                <w:szCs w:val="32"/>
                <w14:ligatures w14:val="standardContextual"/>
              </w:rPr>
            </w:pPr>
          </w:p>
        </w:tc>
      </w:tr>
    </w:tbl>
    <w:p w14:paraId="36B10823">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考核打分</w:t>
      </w:r>
    </w:p>
    <w:p w14:paraId="4091F551">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学院对通过资格审查的学生进行考核打分。考核评分方法为：</w:t>
      </w:r>
    </w:p>
    <w:p w14:paraId="3A7CECA8">
      <w:pPr>
        <w:spacing w:after="160" w:line="560" w:lineRule="exact"/>
        <w:ind w:firstLine="640" w:firstLineChars="200"/>
        <w:rPr>
          <w:rFonts w:ascii="仿宋_GB2312" w:hAnsi="黑体" w:eastAsia="仿宋_GB2312"/>
          <w:sz w:val="32"/>
          <w:szCs w:val="32"/>
        </w:rPr>
      </w:pPr>
      <w:r>
        <w:rPr>
          <w:rFonts w:hint="eastAsia" w:ascii="仿宋_GB2312" w:hAnsi="黑体" w:eastAsia="仿宋_GB2312"/>
          <w:sz w:val="32"/>
          <w:szCs w:val="32"/>
          <w14:ligatures w14:val="standardContextual"/>
        </w:rPr>
        <w:t>大一校内转专业考核分</w:t>
      </w:r>
      <w:r>
        <w:rPr>
          <w:rFonts w:hint="eastAsia" w:ascii="仿宋_GB2312" w:hAnsi="黑体" w:eastAsia="仿宋_GB2312"/>
          <w:sz w:val="32"/>
          <w:szCs w:val="32"/>
        </w:rPr>
        <w:t xml:space="preserve"> =</w:t>
      </w:r>
      <w:r>
        <w:rPr>
          <w:rFonts w:ascii="仿宋_GB2312" w:hAnsi="黑体" w:eastAsia="仿宋_GB2312"/>
          <w:sz w:val="32"/>
          <w:szCs w:val="32"/>
        </w:rPr>
        <w:t xml:space="preserve"> </w:t>
      </w:r>
      <w:r>
        <w:rPr>
          <w:rFonts w:hint="eastAsia" w:ascii="仿宋_GB2312" w:hAnsi="黑体" w:eastAsia="仿宋_GB2312"/>
          <w:sz w:val="32"/>
          <w:szCs w:val="32"/>
        </w:rPr>
        <w:t>第一学期</w:t>
      </w:r>
      <w:r>
        <w:rPr>
          <w:rFonts w:hint="eastAsia" w:ascii="仿宋_GB2312" w:hAnsi="黑体" w:eastAsia="仿宋_GB2312"/>
          <w:sz w:val="32"/>
          <w:szCs w:val="32"/>
          <w14:ligatures w14:val="standardContextual"/>
        </w:rPr>
        <w:t>英语和高等数学平均分</w:t>
      </w:r>
      <w:r>
        <w:rPr>
          <w:rFonts w:ascii="仿宋_GB2312" w:hAnsi="黑体" w:eastAsia="仿宋_GB2312"/>
          <w:sz w:val="32"/>
          <w:szCs w:val="32"/>
        </w:rPr>
        <w:sym w:font="Symbol" w:char="F0B4"/>
      </w:r>
      <w:r>
        <w:rPr>
          <w:rFonts w:hint="eastAsia" w:ascii="仿宋_GB2312" w:hAnsi="黑体" w:eastAsia="仿宋_GB2312"/>
          <w:sz w:val="32"/>
          <w:szCs w:val="32"/>
        </w:rPr>
        <w:t>8</w:t>
      </w:r>
      <w:r>
        <w:rPr>
          <w:rFonts w:ascii="仿宋_GB2312" w:hAnsi="黑体" w:eastAsia="仿宋_GB2312"/>
          <w:sz w:val="32"/>
          <w:szCs w:val="32"/>
        </w:rPr>
        <w:t>0% + 面试</w:t>
      </w:r>
      <w:r>
        <w:rPr>
          <w:rFonts w:hint="eastAsia" w:ascii="仿宋_GB2312" w:hAnsi="黑体" w:eastAsia="仿宋_GB2312"/>
          <w:sz w:val="32"/>
          <w:szCs w:val="32"/>
        </w:rPr>
        <w:t>（满分1</w:t>
      </w:r>
      <w:r>
        <w:rPr>
          <w:rFonts w:ascii="仿宋_GB2312" w:hAnsi="黑体" w:eastAsia="仿宋_GB2312"/>
          <w:sz w:val="32"/>
          <w:szCs w:val="32"/>
        </w:rPr>
        <w:t>00</w:t>
      </w:r>
      <w:r>
        <w:rPr>
          <w:rFonts w:hint="eastAsia" w:ascii="仿宋_GB2312" w:hAnsi="黑体" w:eastAsia="仿宋_GB2312"/>
          <w:sz w:val="32"/>
          <w:szCs w:val="32"/>
        </w:rPr>
        <w:t>分）</w:t>
      </w:r>
      <w:r>
        <w:rPr>
          <w:rFonts w:ascii="仿宋_GB2312" w:hAnsi="黑体" w:eastAsia="仿宋_GB2312"/>
          <w:sz w:val="32"/>
          <w:szCs w:val="32"/>
        </w:rPr>
        <w:sym w:font="Symbol" w:char="F0B4"/>
      </w:r>
      <w:r>
        <w:rPr>
          <w:rFonts w:hint="eastAsia" w:ascii="仿宋_GB2312" w:hAnsi="黑体" w:eastAsia="仿宋_GB2312"/>
          <w:sz w:val="32"/>
          <w:szCs w:val="32"/>
        </w:rPr>
        <w:t>2</w:t>
      </w:r>
      <w:r>
        <w:rPr>
          <w:rFonts w:ascii="仿宋_GB2312" w:hAnsi="黑体" w:eastAsia="仿宋_GB2312"/>
          <w:sz w:val="32"/>
          <w:szCs w:val="32"/>
        </w:rPr>
        <w:t xml:space="preserve">0% </w:t>
      </w:r>
      <w:r>
        <w:rPr>
          <w:rFonts w:hint="eastAsia" w:ascii="仿宋_GB2312" w:hAnsi="黑体" w:eastAsia="仿宋_GB2312"/>
          <w:sz w:val="32"/>
          <w:szCs w:val="32"/>
        </w:rPr>
        <w:t>-</w:t>
      </w:r>
      <w:r>
        <w:rPr>
          <w:rFonts w:hint="eastAsia" w:ascii="仿宋_GB2312" w:hAnsi="黑体" w:eastAsia="仿宋_GB2312"/>
          <w:sz w:val="32"/>
          <w:szCs w:val="32"/>
          <w14:ligatures w14:val="standardContextual"/>
        </w:rPr>
        <w:t xml:space="preserve"> </w:t>
      </w:r>
      <w:r>
        <w:rPr>
          <w:rFonts w:hint="eastAsia" w:ascii="仿宋_GB2312" w:hAnsi="黑体" w:eastAsia="仿宋_GB2312"/>
          <w:sz w:val="32"/>
          <w:szCs w:val="32"/>
        </w:rPr>
        <w:t>挂科门数（除校公共选修课外首次考核未及格门数）</w:t>
      </w:r>
      <w:r>
        <w:rPr>
          <w:rFonts w:ascii="仿宋_GB2312" w:hAnsi="黑体" w:eastAsia="仿宋_GB2312"/>
          <w:sz w:val="32"/>
          <w:szCs w:val="32"/>
        </w:rPr>
        <w:sym w:font="Symbol" w:char="F0B4"/>
      </w:r>
      <w:r>
        <w:rPr>
          <w:rFonts w:ascii="仿宋_GB2312" w:hAnsi="黑体" w:eastAsia="仿宋_GB2312"/>
          <w:sz w:val="32"/>
          <w:szCs w:val="32"/>
        </w:rPr>
        <w:t>15</w:t>
      </w:r>
      <w:r>
        <w:rPr>
          <w:rFonts w:hint="eastAsia" w:ascii="仿宋_GB2312" w:hAnsi="黑体" w:eastAsia="仿宋_GB2312"/>
          <w:sz w:val="32"/>
          <w:szCs w:val="32"/>
        </w:rPr>
        <w:t>；</w:t>
      </w:r>
    </w:p>
    <w:p w14:paraId="57C92FF5">
      <w:pPr>
        <w:spacing w:line="560" w:lineRule="exact"/>
        <w:ind w:firstLine="640" w:firstLineChars="200"/>
        <w:rPr>
          <w:rFonts w:ascii="仿宋_GB2312" w:eastAsia="仿宋_GB2312"/>
          <w:sz w:val="32"/>
          <w:szCs w:val="32"/>
        </w:rPr>
      </w:pPr>
      <w:r>
        <w:rPr>
          <w:rFonts w:hint="eastAsia" w:ascii="仿宋_GB2312" w:eastAsia="仿宋_GB2312"/>
          <w:sz w:val="32"/>
          <w:szCs w:val="32"/>
        </w:rPr>
        <w:t>（二）二年级学院内转专业</w:t>
      </w:r>
    </w:p>
    <w:p w14:paraId="5C41B347">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考核程序</w:t>
      </w:r>
    </w:p>
    <w:p w14:paraId="5F878C7F">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学生在学校规定的转专业时间内，向学院提交转专业申请，学院依照下列流程办理：</w:t>
      </w:r>
    </w:p>
    <w:p w14:paraId="6E25DEF1">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（1）学生向学院提交转专业申请；</w:t>
      </w:r>
    </w:p>
    <w:p w14:paraId="3DE6B897">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（2）学院对申请学生进行资格审查；</w:t>
      </w:r>
    </w:p>
    <w:p w14:paraId="57444834">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w:t>
      </w:r>
      <w:r>
        <w:rPr>
          <w:rFonts w:ascii="仿宋_GB2312" w:hAnsi="黑体" w:eastAsia="仿宋_GB2312"/>
          <w:sz w:val="32"/>
          <w:szCs w:val="32"/>
          <w14:ligatures w14:val="standardContextual"/>
        </w:rPr>
        <w:t>3</w:t>
      </w:r>
      <w:r>
        <w:rPr>
          <w:rFonts w:hint="eastAsia" w:ascii="仿宋_GB2312" w:hAnsi="黑体" w:eastAsia="仿宋_GB2312"/>
          <w:sz w:val="32"/>
          <w:szCs w:val="32"/>
          <w14:ligatures w14:val="standardContextual"/>
        </w:rPr>
        <w:t>）学院对通过资格审查的学生进行考核打分、排序；</w:t>
      </w:r>
    </w:p>
    <w:p w14:paraId="29D2FBF1">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资格审查</w:t>
      </w:r>
    </w:p>
    <w:p w14:paraId="1E180CC4">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学院对申请转专业学生进行资格审查,原则上须达到如下要求可通过资格审查：</w:t>
      </w:r>
    </w:p>
    <w:p w14:paraId="1BAE883B">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（1）符合学校转专业文件要求；</w:t>
      </w:r>
    </w:p>
    <w:p w14:paraId="6D1E2A24">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w:t>
      </w:r>
      <w:r>
        <w:rPr>
          <w:rFonts w:ascii="仿宋_GB2312" w:hAnsi="黑体" w:eastAsia="仿宋_GB2312"/>
          <w:sz w:val="32"/>
          <w:szCs w:val="32"/>
          <w14:ligatures w14:val="standardContextual"/>
        </w:rPr>
        <w:t>2</w:t>
      </w:r>
      <w:r>
        <w:rPr>
          <w:rFonts w:hint="eastAsia" w:ascii="仿宋_GB2312" w:hAnsi="黑体" w:eastAsia="仿宋_GB2312"/>
          <w:sz w:val="32"/>
          <w:szCs w:val="32"/>
          <w14:ligatures w14:val="standardContextual"/>
        </w:rPr>
        <w:t>）已经按正常进度修读了英语和高等数学课程（具体见表1）；</w:t>
      </w:r>
    </w:p>
    <w:p w14:paraId="39438D95">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w:t>
      </w:r>
      <w:r>
        <w:rPr>
          <w:rFonts w:ascii="仿宋_GB2312" w:hAnsi="黑体" w:eastAsia="仿宋_GB2312"/>
          <w:sz w:val="32"/>
          <w:szCs w:val="32"/>
          <w14:ligatures w14:val="standardContextual"/>
        </w:rPr>
        <w:t>3</w:t>
      </w:r>
      <w:r>
        <w:rPr>
          <w:rFonts w:hint="eastAsia" w:ascii="仿宋_GB2312" w:hAnsi="黑体" w:eastAsia="仿宋_GB2312"/>
          <w:sz w:val="32"/>
          <w:szCs w:val="32"/>
          <w14:ligatures w14:val="standardContextual"/>
        </w:rPr>
        <w:t>）遵纪守法，能服从学校、学院各项管理规定。</w:t>
      </w:r>
    </w:p>
    <w:p w14:paraId="6F9B532F">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考核打分</w:t>
      </w:r>
    </w:p>
    <w:p w14:paraId="34D32BE9">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学院对通过资格审查的学生进行考核打分。考核评分方法为：</w:t>
      </w:r>
    </w:p>
    <w:p w14:paraId="24484A9C">
      <w:pPr>
        <w:spacing w:after="160" w:line="560" w:lineRule="exact"/>
        <w:ind w:firstLine="640" w:firstLineChars="200"/>
        <w:rPr>
          <w:rFonts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 xml:space="preserve">大二院内转专业考核分 </w:t>
      </w:r>
      <w:r>
        <w:rPr>
          <w:rFonts w:hint="eastAsia" w:ascii="仿宋_GB2312" w:hAnsi="黑体" w:eastAsia="仿宋_GB2312"/>
          <w:sz w:val="32"/>
          <w:szCs w:val="32"/>
        </w:rPr>
        <w:t>=</w:t>
      </w:r>
      <w:r>
        <w:rPr>
          <w:rFonts w:ascii="仿宋_GB2312" w:hAnsi="黑体" w:eastAsia="仿宋_GB2312"/>
          <w:sz w:val="32"/>
          <w:szCs w:val="32"/>
        </w:rPr>
        <w:t xml:space="preserve"> </w:t>
      </w:r>
      <w:r>
        <w:rPr>
          <w:rFonts w:hint="eastAsia" w:ascii="仿宋_GB2312" w:hAnsi="黑体" w:eastAsia="仿宋_GB2312"/>
          <w:sz w:val="32"/>
          <w:szCs w:val="32"/>
        </w:rPr>
        <w:t>第一、二、三学期</w:t>
      </w:r>
      <w:r>
        <w:rPr>
          <w:rFonts w:hint="eastAsia" w:ascii="仿宋_GB2312" w:hAnsi="黑体" w:eastAsia="仿宋_GB2312"/>
          <w:sz w:val="32"/>
          <w:szCs w:val="32"/>
          <w14:ligatures w14:val="standardContextual"/>
        </w:rPr>
        <w:t>英语和高等数学平均分</w:t>
      </w:r>
      <w:r>
        <w:rPr>
          <w:rFonts w:ascii="仿宋_GB2312" w:hAnsi="黑体" w:eastAsia="仿宋_GB2312"/>
          <w:sz w:val="32"/>
          <w:szCs w:val="32"/>
        </w:rPr>
        <w:sym w:font="Symbol" w:char="F0B4"/>
      </w:r>
      <w:r>
        <w:rPr>
          <w:rFonts w:hint="eastAsia" w:ascii="仿宋_GB2312" w:hAnsi="黑体" w:eastAsia="仿宋_GB2312"/>
          <w:sz w:val="32"/>
          <w:szCs w:val="32"/>
        </w:rPr>
        <w:t>8</w:t>
      </w:r>
      <w:r>
        <w:rPr>
          <w:rFonts w:ascii="仿宋_GB2312" w:hAnsi="黑体" w:eastAsia="仿宋_GB2312"/>
          <w:sz w:val="32"/>
          <w:szCs w:val="32"/>
        </w:rPr>
        <w:t>0% + 面试</w:t>
      </w:r>
      <w:r>
        <w:rPr>
          <w:rFonts w:hint="eastAsia" w:ascii="仿宋_GB2312" w:hAnsi="黑体" w:eastAsia="仿宋_GB2312"/>
          <w:sz w:val="32"/>
          <w:szCs w:val="32"/>
        </w:rPr>
        <w:t>（满分1</w:t>
      </w:r>
      <w:r>
        <w:rPr>
          <w:rFonts w:ascii="仿宋_GB2312" w:hAnsi="黑体" w:eastAsia="仿宋_GB2312"/>
          <w:sz w:val="32"/>
          <w:szCs w:val="32"/>
        </w:rPr>
        <w:t>00</w:t>
      </w:r>
      <w:r>
        <w:rPr>
          <w:rFonts w:hint="eastAsia" w:ascii="仿宋_GB2312" w:hAnsi="黑体" w:eastAsia="仿宋_GB2312"/>
          <w:sz w:val="32"/>
          <w:szCs w:val="32"/>
        </w:rPr>
        <w:t>分）</w:t>
      </w:r>
      <w:r>
        <w:rPr>
          <w:rFonts w:ascii="仿宋_GB2312" w:hAnsi="黑体" w:eastAsia="仿宋_GB2312"/>
          <w:sz w:val="32"/>
          <w:szCs w:val="32"/>
        </w:rPr>
        <w:sym w:font="Symbol" w:char="F0B4"/>
      </w:r>
      <w:r>
        <w:rPr>
          <w:rFonts w:hint="eastAsia" w:ascii="仿宋_GB2312" w:hAnsi="黑体" w:eastAsia="仿宋_GB2312"/>
          <w:sz w:val="32"/>
          <w:szCs w:val="32"/>
        </w:rPr>
        <w:t>2</w:t>
      </w:r>
      <w:r>
        <w:rPr>
          <w:rFonts w:ascii="仿宋_GB2312" w:hAnsi="黑体" w:eastAsia="仿宋_GB2312"/>
          <w:sz w:val="32"/>
          <w:szCs w:val="32"/>
        </w:rPr>
        <w:t>0%</w:t>
      </w:r>
      <w:r>
        <w:rPr>
          <w:rFonts w:hint="eastAsia" w:ascii="仿宋_GB2312" w:hAnsi="黑体" w:eastAsia="仿宋_GB2312"/>
          <w:sz w:val="32"/>
          <w:szCs w:val="32"/>
          <w14:ligatures w14:val="standardContextual"/>
        </w:rPr>
        <w:t xml:space="preserve"> -</w:t>
      </w:r>
      <w:r>
        <w:rPr>
          <w:rFonts w:ascii="仿宋_GB2312" w:hAnsi="黑体" w:eastAsia="仿宋_GB2312"/>
          <w:sz w:val="32"/>
          <w:szCs w:val="32"/>
          <w14:ligatures w14:val="standardContextual"/>
        </w:rPr>
        <w:t xml:space="preserve"> </w:t>
      </w:r>
      <w:r>
        <w:rPr>
          <w:rFonts w:hint="eastAsia" w:ascii="仿宋_GB2312" w:hAnsi="黑体" w:eastAsia="仿宋_GB2312"/>
          <w:sz w:val="32"/>
          <w:szCs w:val="32"/>
        </w:rPr>
        <w:t>挂科门数（除校公共选修课外首次考核未及格门数）</w:t>
      </w:r>
      <w:r>
        <w:rPr>
          <w:rFonts w:ascii="仿宋_GB2312" w:hAnsi="黑体" w:eastAsia="仿宋_GB2312"/>
          <w:sz w:val="32"/>
          <w:szCs w:val="32"/>
        </w:rPr>
        <w:sym w:font="Symbol" w:char="F0B4"/>
      </w:r>
      <w:r>
        <w:rPr>
          <w:rFonts w:ascii="仿宋_GB2312" w:hAnsi="黑体" w:eastAsia="仿宋_GB2312"/>
          <w:sz w:val="32"/>
          <w:szCs w:val="32"/>
        </w:rPr>
        <w:t>15</w:t>
      </w:r>
      <w:r>
        <w:rPr>
          <w:rFonts w:hint="eastAsia" w:ascii="仿宋_GB2312" w:hAnsi="黑体" w:eastAsia="仿宋_GB2312"/>
          <w:sz w:val="32"/>
          <w:szCs w:val="32"/>
        </w:rPr>
        <w:t>。</w:t>
      </w:r>
    </w:p>
    <w:p w14:paraId="664FE188">
      <w:pPr>
        <w:spacing w:line="560" w:lineRule="exact"/>
        <w:ind w:firstLine="640" w:firstLineChars="200"/>
        <w:rPr>
          <w:rFonts w:ascii="黑体" w:hAnsi="黑体" w:eastAsia="黑体"/>
          <w:sz w:val="32"/>
          <w:szCs w:val="32"/>
        </w:rPr>
      </w:pPr>
      <w:r>
        <w:rPr>
          <w:rFonts w:hint="eastAsia" w:ascii="黑体" w:hAnsi="黑体" w:eastAsia="黑体"/>
          <w:sz w:val="32"/>
          <w:szCs w:val="32"/>
        </w:rPr>
        <w:t>五、工作程序</w:t>
      </w:r>
    </w:p>
    <w:p w14:paraId="218C09B5">
      <w:pPr>
        <w:spacing w:line="560" w:lineRule="exact"/>
        <w:ind w:firstLine="640" w:firstLineChars="200"/>
        <w:rPr>
          <w:rFonts w:ascii="仿宋_GB2312" w:eastAsia="仿宋_GB2312"/>
          <w:sz w:val="32"/>
          <w:szCs w:val="32"/>
        </w:rPr>
      </w:pPr>
      <w:r>
        <w:rPr>
          <w:rFonts w:hint="eastAsia" w:ascii="仿宋_GB2312" w:eastAsia="仿宋_GB2312"/>
          <w:sz w:val="32"/>
          <w:szCs w:val="32"/>
        </w:rPr>
        <w:t>（一）转专业工作于每学年第一学期末开展。具体工作安排由学校统一发布。</w:t>
      </w:r>
    </w:p>
    <w:p w14:paraId="145D1C6E">
      <w:pPr>
        <w:spacing w:line="560" w:lineRule="exact"/>
        <w:ind w:firstLine="640" w:firstLineChars="200"/>
        <w:rPr>
          <w:rFonts w:ascii="仿宋_GB2312" w:eastAsia="仿宋_GB2312"/>
          <w:sz w:val="32"/>
          <w:szCs w:val="32"/>
        </w:rPr>
      </w:pPr>
      <w:r>
        <w:rPr>
          <w:rFonts w:hint="eastAsia" w:ascii="仿宋_GB2312" w:eastAsia="仿宋_GB2312"/>
          <w:sz w:val="32"/>
          <w:szCs w:val="32"/>
        </w:rPr>
        <w:t>（二）符合条件的一年级新生或二年级学生，按照学校转专业工作安排，填写本科学生转专业申请表并交学生所在学院，填报</w:t>
      </w:r>
      <w:r>
        <w:rPr>
          <w:rFonts w:ascii="仿宋_GB2312" w:eastAsia="仿宋_GB2312"/>
          <w:sz w:val="32"/>
          <w:szCs w:val="32"/>
        </w:rPr>
        <w:t>1个专业志愿。</w:t>
      </w:r>
      <w:r>
        <w:rPr>
          <w:rFonts w:hint="eastAsia" w:ascii="仿宋_GB2312" w:eastAsia="仿宋_GB2312"/>
          <w:sz w:val="32"/>
          <w:szCs w:val="32"/>
        </w:rPr>
        <w:t>学生所在学院初步审查其符合学校转专业资格，给出审查意见。</w:t>
      </w:r>
    </w:p>
    <w:p w14:paraId="531859DD">
      <w:pPr>
        <w:spacing w:line="560" w:lineRule="exact"/>
        <w:ind w:firstLine="640" w:firstLineChars="200"/>
        <w:rPr>
          <w:rFonts w:ascii="仿宋_GB2312" w:eastAsia="仿宋_GB2312"/>
          <w:sz w:val="32"/>
          <w:szCs w:val="32"/>
        </w:rPr>
      </w:pPr>
      <w:r>
        <w:rPr>
          <w:rFonts w:hint="eastAsia" w:ascii="仿宋_GB2312" w:eastAsia="仿宋_GB2312"/>
          <w:sz w:val="32"/>
          <w:szCs w:val="32"/>
        </w:rPr>
        <w:t>（三）转入专业所在学院根据学生填报志愿情况组织考核。</w:t>
      </w:r>
    </w:p>
    <w:p w14:paraId="683C4C13">
      <w:pPr>
        <w:spacing w:line="560" w:lineRule="exact"/>
        <w:ind w:firstLine="640" w:firstLineChars="200"/>
        <w:rPr>
          <w:rFonts w:ascii="仿宋_GB2312" w:eastAsia="仿宋_GB2312"/>
          <w:sz w:val="32"/>
          <w:szCs w:val="32"/>
        </w:rPr>
      </w:pPr>
      <w:r>
        <w:rPr>
          <w:rFonts w:hint="eastAsia" w:ascii="仿宋_GB2312" w:eastAsia="仿宋_GB2312"/>
          <w:sz w:val="32"/>
          <w:szCs w:val="32"/>
        </w:rPr>
        <w:t>（四）学生考核成绩经转入学院党政联席会议审议通过后，在学院网站和公告栏公示3个工作日。公示期满无异议，根据考核成绩从高分到低分排序，按照转入计划人数择优选录，并将拟转入学生名单报学校审核。考核成绩相同且同时录取超出计划人数时，相同成绩的学生同时选录。</w:t>
      </w:r>
    </w:p>
    <w:p w14:paraId="6C3F581B">
      <w:pPr>
        <w:spacing w:line="560" w:lineRule="exact"/>
        <w:ind w:firstLine="640" w:firstLineChars="200"/>
        <w:rPr>
          <w:rFonts w:ascii="仿宋_GB2312" w:eastAsia="仿宋_GB2312"/>
          <w:sz w:val="32"/>
          <w:szCs w:val="32"/>
        </w:rPr>
      </w:pPr>
      <w:r>
        <w:rPr>
          <w:rFonts w:hint="eastAsia" w:ascii="仿宋_GB2312" w:eastAsia="仿宋_GB2312"/>
          <w:sz w:val="32"/>
          <w:szCs w:val="32"/>
        </w:rPr>
        <w:t>（五）拟转入学生名单经学校审核通过，公示3个工作日。公示期满无异议，办理转专业试读手续。</w:t>
      </w:r>
    </w:p>
    <w:p w14:paraId="5523F087">
      <w:pPr>
        <w:spacing w:line="560" w:lineRule="exact"/>
        <w:ind w:firstLine="640" w:firstLineChars="200"/>
        <w:rPr>
          <w:rFonts w:ascii="仿宋_GB2312" w:eastAsia="仿宋_GB2312"/>
          <w:sz w:val="32"/>
          <w:szCs w:val="32"/>
        </w:rPr>
      </w:pPr>
      <w:r>
        <w:rPr>
          <w:rFonts w:hint="eastAsia" w:ascii="仿宋_GB2312" w:eastAsia="仿宋_GB2312"/>
          <w:sz w:val="32"/>
          <w:szCs w:val="32"/>
        </w:rPr>
        <w:t>（六）转专业学生到拟转入学院报到，按拟转入专业培养要求试读2周。试读期内，学生本人和家长（或监护人）签字确认转入新专业学习。未按规定办理转入确认手续或试读期间主动放弃转入资格的学生，应在原专业完成学业。</w:t>
      </w:r>
    </w:p>
    <w:p w14:paraId="5ECF5A76">
      <w:pPr>
        <w:spacing w:line="560" w:lineRule="exact"/>
        <w:ind w:firstLine="640" w:firstLineChars="200"/>
        <w:rPr>
          <w:rFonts w:ascii="仿宋_GB2312" w:eastAsia="仿宋_GB2312"/>
          <w:sz w:val="32"/>
          <w:szCs w:val="32"/>
        </w:rPr>
      </w:pPr>
      <w:r>
        <w:rPr>
          <w:rFonts w:hint="eastAsia" w:ascii="仿宋_GB2312" w:eastAsia="仿宋_GB2312"/>
          <w:sz w:val="32"/>
          <w:szCs w:val="32"/>
        </w:rPr>
        <w:t>（七）试读结束后，学校正式公布转专业学生名单，统一办理学籍异动、选课、宿舍和学费调整等。</w:t>
      </w:r>
    </w:p>
    <w:p w14:paraId="53CE3E87">
      <w:pPr>
        <w:spacing w:line="560" w:lineRule="exact"/>
        <w:ind w:firstLine="640" w:firstLineChars="200"/>
        <w:rPr>
          <w:rFonts w:ascii="仿宋_GB2312" w:eastAsia="仿宋_GB2312"/>
          <w:sz w:val="32"/>
          <w:szCs w:val="32"/>
        </w:rPr>
      </w:pPr>
      <w:r>
        <w:rPr>
          <w:rFonts w:hint="eastAsia" w:ascii="仿宋_GB2312" w:eastAsia="仿宋_GB2312"/>
          <w:sz w:val="32"/>
          <w:szCs w:val="32"/>
        </w:rPr>
        <w:t>（八）因志愿缺额、公示或试读期内放弃等，致使专业转入计划人数未完成的，不再开展转专业工作。</w:t>
      </w:r>
    </w:p>
    <w:p w14:paraId="2A419CD5">
      <w:pPr>
        <w:spacing w:line="560" w:lineRule="exact"/>
        <w:ind w:firstLine="640" w:firstLineChars="200"/>
        <w:rPr>
          <w:rFonts w:ascii="黑体" w:hAnsi="黑体" w:eastAsia="黑体"/>
          <w:sz w:val="32"/>
          <w:szCs w:val="32"/>
        </w:rPr>
      </w:pPr>
      <w:r>
        <w:rPr>
          <w:rFonts w:hint="eastAsia" w:ascii="黑体" w:hAnsi="黑体" w:eastAsia="黑体"/>
          <w:sz w:val="32"/>
          <w:szCs w:val="32"/>
        </w:rPr>
        <w:t>六、附则</w:t>
      </w:r>
    </w:p>
    <w:p w14:paraId="322A5E69">
      <w:pPr>
        <w:spacing w:line="560" w:lineRule="exact"/>
        <w:ind w:firstLine="640" w:firstLineChars="200"/>
        <w:rPr>
          <w:rFonts w:ascii="仿宋_GB2312" w:eastAsia="仿宋_GB2312"/>
          <w:sz w:val="32"/>
          <w:szCs w:val="32"/>
        </w:rPr>
      </w:pPr>
      <w:r>
        <w:rPr>
          <w:rFonts w:hint="eastAsia" w:ascii="仿宋_GB2312" w:eastAsia="仿宋_GB2312"/>
          <w:sz w:val="32"/>
          <w:szCs w:val="32"/>
        </w:rPr>
        <w:t>（一）学院本科生转专业工作在学校和学院纪检监察部门的全程监督下组织实施。在转专业过程中弄虚作假的，一经查实将报请学校取消其转专业资格，并按有关规定予以处理。</w:t>
      </w:r>
    </w:p>
    <w:p w14:paraId="1E74C37B">
      <w:pPr>
        <w:spacing w:line="560" w:lineRule="exact"/>
        <w:ind w:firstLine="640" w:firstLineChars="200"/>
        <w:rPr>
          <w:rFonts w:ascii="仿宋_GB2312" w:eastAsia="仿宋_GB2312"/>
          <w:sz w:val="32"/>
          <w:szCs w:val="32"/>
        </w:rPr>
      </w:pPr>
      <w:r>
        <w:rPr>
          <w:rFonts w:hint="eastAsia" w:ascii="仿宋_GB2312" w:eastAsia="仿宋_GB2312"/>
          <w:sz w:val="32"/>
          <w:szCs w:val="32"/>
        </w:rPr>
        <w:t>（二）学生对转专业结果有异议的，可于转入学院公示期内实名向申请转入学院提请复核，由转入学院组织调查核实，在三个工作日内将结果告知学生本人并报学校备案。学生对学院复核仍有异议的，按《安徽建筑大学学生申诉处理办法》规定提请申诉。</w:t>
      </w:r>
    </w:p>
    <w:p w14:paraId="007BF74A">
      <w:pPr>
        <w:spacing w:line="560" w:lineRule="exact"/>
        <w:ind w:firstLine="640" w:firstLineChars="200"/>
        <w:rPr>
          <w:rFonts w:ascii="仿宋_GB2312" w:eastAsia="仿宋_GB2312"/>
          <w:sz w:val="32"/>
          <w:szCs w:val="32"/>
        </w:rPr>
      </w:pPr>
      <w:r>
        <w:rPr>
          <w:rFonts w:hint="eastAsia" w:ascii="仿宋_GB2312" w:eastAsia="仿宋_GB2312"/>
          <w:sz w:val="32"/>
          <w:szCs w:val="32"/>
        </w:rPr>
        <w:t>（三）本细则由环能学院负责解释，自发布之日起施行。其他未尽事宜，按校字〔</w:t>
      </w:r>
      <w:r>
        <w:rPr>
          <w:rFonts w:ascii="仿宋_GB2312" w:eastAsia="仿宋_GB2312"/>
          <w:sz w:val="32"/>
          <w:szCs w:val="32"/>
        </w:rPr>
        <w:t>2024〕46号</w:t>
      </w:r>
      <w:r>
        <w:rPr>
          <w:rFonts w:hint="eastAsia" w:ascii="仿宋_GB2312" w:eastAsia="仿宋_GB2312"/>
          <w:sz w:val="32"/>
          <w:szCs w:val="32"/>
        </w:rPr>
        <w:t>有关规定执行。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FkODQ5ZDEyMTY0YTg0NzU4YTM3MmVmOGQyZWM0ZTgifQ=="/>
  </w:docVars>
  <w:rsids>
    <w:rsidRoot w:val="000C0210"/>
    <w:rsid w:val="0002145D"/>
    <w:rsid w:val="00041F99"/>
    <w:rsid w:val="000646F0"/>
    <w:rsid w:val="00066CEA"/>
    <w:rsid w:val="00077554"/>
    <w:rsid w:val="00094119"/>
    <w:rsid w:val="000B583C"/>
    <w:rsid w:val="000C0210"/>
    <w:rsid w:val="000C6D39"/>
    <w:rsid w:val="000D4025"/>
    <w:rsid w:val="000F1B69"/>
    <w:rsid w:val="00103908"/>
    <w:rsid w:val="00104432"/>
    <w:rsid w:val="00145ABD"/>
    <w:rsid w:val="001674ED"/>
    <w:rsid w:val="00167E11"/>
    <w:rsid w:val="0018328A"/>
    <w:rsid w:val="00191923"/>
    <w:rsid w:val="001B3F9A"/>
    <w:rsid w:val="001C036E"/>
    <w:rsid w:val="002049B6"/>
    <w:rsid w:val="0021276A"/>
    <w:rsid w:val="00226498"/>
    <w:rsid w:val="0024098F"/>
    <w:rsid w:val="002446C2"/>
    <w:rsid w:val="002828CC"/>
    <w:rsid w:val="00287223"/>
    <w:rsid w:val="00291A07"/>
    <w:rsid w:val="002B0592"/>
    <w:rsid w:val="002C43FD"/>
    <w:rsid w:val="002E64C1"/>
    <w:rsid w:val="00307DD1"/>
    <w:rsid w:val="003609E8"/>
    <w:rsid w:val="00363953"/>
    <w:rsid w:val="003C1014"/>
    <w:rsid w:val="003C31D9"/>
    <w:rsid w:val="003E73DB"/>
    <w:rsid w:val="003F395B"/>
    <w:rsid w:val="00430C1C"/>
    <w:rsid w:val="00440AC6"/>
    <w:rsid w:val="0044225F"/>
    <w:rsid w:val="00483C3E"/>
    <w:rsid w:val="00497CB3"/>
    <w:rsid w:val="004A6372"/>
    <w:rsid w:val="004C1DEE"/>
    <w:rsid w:val="004E7F03"/>
    <w:rsid w:val="0051490B"/>
    <w:rsid w:val="00544CEE"/>
    <w:rsid w:val="0058754C"/>
    <w:rsid w:val="005A3D1D"/>
    <w:rsid w:val="005B5FE9"/>
    <w:rsid w:val="005C5CC9"/>
    <w:rsid w:val="005E3151"/>
    <w:rsid w:val="005E5928"/>
    <w:rsid w:val="00636ACC"/>
    <w:rsid w:val="0065714F"/>
    <w:rsid w:val="006D564E"/>
    <w:rsid w:val="006E4AE6"/>
    <w:rsid w:val="006E764D"/>
    <w:rsid w:val="006F1373"/>
    <w:rsid w:val="007014B6"/>
    <w:rsid w:val="00717A07"/>
    <w:rsid w:val="007259C5"/>
    <w:rsid w:val="00777180"/>
    <w:rsid w:val="007A0732"/>
    <w:rsid w:val="007A0DDF"/>
    <w:rsid w:val="007C77A5"/>
    <w:rsid w:val="007D254E"/>
    <w:rsid w:val="007E1119"/>
    <w:rsid w:val="008054BA"/>
    <w:rsid w:val="00816B7B"/>
    <w:rsid w:val="00830379"/>
    <w:rsid w:val="00875E89"/>
    <w:rsid w:val="00885168"/>
    <w:rsid w:val="009173DE"/>
    <w:rsid w:val="00930036"/>
    <w:rsid w:val="00945E09"/>
    <w:rsid w:val="00947007"/>
    <w:rsid w:val="0095576D"/>
    <w:rsid w:val="00961653"/>
    <w:rsid w:val="0098546D"/>
    <w:rsid w:val="009A075E"/>
    <w:rsid w:val="009A3E77"/>
    <w:rsid w:val="009D10D5"/>
    <w:rsid w:val="009F2856"/>
    <w:rsid w:val="00A10B8E"/>
    <w:rsid w:val="00AB659E"/>
    <w:rsid w:val="00AC74AC"/>
    <w:rsid w:val="00AF2FC1"/>
    <w:rsid w:val="00B74FD6"/>
    <w:rsid w:val="00B819E3"/>
    <w:rsid w:val="00B849BA"/>
    <w:rsid w:val="00B8604E"/>
    <w:rsid w:val="00BA54BC"/>
    <w:rsid w:val="00BC0C44"/>
    <w:rsid w:val="00BC66CF"/>
    <w:rsid w:val="00BE0C80"/>
    <w:rsid w:val="00BF41FA"/>
    <w:rsid w:val="00C05DAF"/>
    <w:rsid w:val="00C31BEE"/>
    <w:rsid w:val="00C656DC"/>
    <w:rsid w:val="00C8615D"/>
    <w:rsid w:val="00C86512"/>
    <w:rsid w:val="00CA2BD4"/>
    <w:rsid w:val="00CA59A0"/>
    <w:rsid w:val="00CE0D0A"/>
    <w:rsid w:val="00D31133"/>
    <w:rsid w:val="00D803EA"/>
    <w:rsid w:val="00D9754B"/>
    <w:rsid w:val="00DA06A6"/>
    <w:rsid w:val="00DA7DAD"/>
    <w:rsid w:val="00DC181C"/>
    <w:rsid w:val="00E5075E"/>
    <w:rsid w:val="00E67B0A"/>
    <w:rsid w:val="00E90127"/>
    <w:rsid w:val="00EB5E04"/>
    <w:rsid w:val="00F061D1"/>
    <w:rsid w:val="00F6216D"/>
    <w:rsid w:val="0F6A6BD5"/>
    <w:rsid w:val="0FED7BCF"/>
    <w:rsid w:val="15ED37D9"/>
    <w:rsid w:val="1C1C5781"/>
    <w:rsid w:val="23A81A60"/>
    <w:rsid w:val="40D51B9E"/>
    <w:rsid w:val="484B1829"/>
    <w:rsid w:val="63A60362"/>
    <w:rsid w:val="65465BE2"/>
    <w:rsid w:val="69902CAE"/>
    <w:rsid w:val="78924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字符"/>
    <w:basedOn w:val="9"/>
    <w:link w:val="3"/>
    <w:semiHidden/>
    <w:qFormat/>
    <w:uiPriority w:val="99"/>
    <w:rPr>
      <w:kern w:val="2"/>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7">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9"/>
    <w:link w:val="2"/>
    <w:semiHidden/>
    <w:qFormat/>
    <w:uiPriority w:val="99"/>
    <w:rPr>
      <w:kern w:val="2"/>
      <w:sz w:val="21"/>
      <w:szCs w:val="22"/>
    </w:rPr>
  </w:style>
  <w:style w:type="character" w:customStyle="1" w:styleId="19">
    <w:name w:val="批注主题 字符"/>
    <w:basedOn w:val="18"/>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AHJZU</Company>
  <Pages>5</Pages>
  <Words>2086</Words>
  <Characters>2140</Characters>
  <Lines>16</Lines>
  <Paragraphs>4</Paragraphs>
  <TotalTime>75</TotalTime>
  <ScaleCrop>false</ScaleCrop>
  <LinksUpToDate>false</LinksUpToDate>
  <CharactersWithSpaces>2158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2024-09-13T09:50:00Z</dcterms:created>
  <dc:creator>DELL</dc:creator>
  <cp:lastModifiedBy>daisy</cp:lastModifiedBy>
  <cp:lastPrinted>2026-01-08T02:37:00Z</cp:lastPrinted>
  <dcterms:modified xsi:type="dcterms:W3CDTF">2026-01-14T01:02:14Z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E3F88D7801AF49E9A8D500CD8A72E6F8_13</vt:lpwstr>
  </property>
  <property fmtid="{D5CDD505-2E9C-101B-9397-08002B2CF9AE}" pid="4" name="KSOTemplateDocerSaveRecord">
    <vt:lpwstr>eyJoZGlkIjoiYmNkNDU3ZmFhYjY3NDE3OTEzZGY3YjFhMzMwNGE3YjEiLCJ1c2VySWQiOiI2NTM3NTg2ODYifQ==</vt:lpwstr>
  </property>
</Properties>
</file>